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51433077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aps w:val="0"/>
          <w:sz w:val="48"/>
          <w:szCs w:val="48"/>
        </w:rPr>
      </w:sdtEndPr>
      <w:sdtContent>
        <w:p w:rsidR="002073B1" w:rsidRDefault="002073B1" w:rsidP="002073B1">
          <w:pPr>
            <w:rPr>
              <w:rFonts w:asciiTheme="majorHAnsi" w:eastAsiaTheme="majorEastAsia" w:hAnsiTheme="majorHAnsi" w:cstheme="majorBidi"/>
              <w:caps/>
              <w:lang w:val="en-US"/>
            </w:rPr>
          </w:pPr>
        </w:p>
        <w:p w:rsidR="009E4033" w:rsidRDefault="009E4033" w:rsidP="002073B1">
          <w:pPr>
            <w:rPr>
              <w:rFonts w:asciiTheme="majorHAnsi" w:eastAsiaTheme="majorEastAsia" w:hAnsiTheme="majorHAnsi" w:cstheme="majorBidi"/>
              <w:caps/>
              <w:lang w:val="en-US"/>
            </w:rPr>
          </w:pPr>
        </w:p>
        <w:p w:rsidR="009E4033" w:rsidRDefault="009E4033" w:rsidP="002073B1">
          <w:pPr>
            <w:rPr>
              <w:rFonts w:asciiTheme="majorHAnsi" w:eastAsiaTheme="majorEastAsia" w:hAnsiTheme="majorHAnsi" w:cstheme="majorBidi"/>
              <w:caps/>
              <w:lang w:val="en-US"/>
            </w:rPr>
          </w:pPr>
        </w:p>
        <w:p w:rsidR="00D20642" w:rsidRPr="009E4033" w:rsidRDefault="00D20642" w:rsidP="002073B1">
          <w:pPr>
            <w:rPr>
              <w:rFonts w:asciiTheme="majorHAnsi" w:eastAsiaTheme="majorEastAsia" w:hAnsiTheme="majorHAnsi" w:cstheme="majorBidi"/>
              <w:caps/>
              <w:lang w:val="en-US"/>
            </w:rPr>
          </w:pPr>
        </w:p>
        <w:p w:rsidR="00C02277" w:rsidRDefault="00C02277" w:rsidP="002073B1">
          <w:pPr>
            <w:pStyle w:val="a3"/>
            <w:jc w:val="center"/>
            <w:rPr>
              <w:rFonts w:ascii="Times New Roman" w:hAnsi="Times New Roman" w:cs="Times New Roman"/>
              <w:b/>
              <w:color w:val="0070C0"/>
              <w:sz w:val="40"/>
              <w:szCs w:val="40"/>
            </w:rPr>
          </w:pPr>
          <w:r w:rsidRPr="00C02277">
            <w:rPr>
              <w:rFonts w:ascii="Times New Roman" w:hAnsi="Times New Roman" w:cs="Times New Roman"/>
              <w:b/>
              <w:color w:val="0070C0"/>
              <w:sz w:val="40"/>
              <w:szCs w:val="40"/>
            </w:rPr>
            <w:t xml:space="preserve">О ходе выполнения </w:t>
          </w:r>
        </w:p>
        <w:p w:rsidR="00D77E55" w:rsidRPr="00C02277" w:rsidRDefault="00C02277" w:rsidP="002073B1">
          <w:pPr>
            <w:pStyle w:val="a3"/>
            <w:jc w:val="center"/>
            <w:rPr>
              <w:rFonts w:ascii="Times New Roman" w:hAnsi="Times New Roman" w:cs="Times New Roman"/>
              <w:b/>
              <w:color w:val="0070C0"/>
              <w:sz w:val="40"/>
              <w:szCs w:val="40"/>
            </w:rPr>
          </w:pPr>
          <w:r w:rsidRPr="00C02277">
            <w:rPr>
              <w:rFonts w:ascii="Times New Roman" w:hAnsi="Times New Roman" w:cs="Times New Roman"/>
              <w:b/>
              <w:color w:val="0070C0"/>
              <w:sz w:val="40"/>
              <w:szCs w:val="40"/>
            </w:rPr>
            <w:t>Правительством Республики Карелия</w:t>
          </w:r>
        </w:p>
        <w:p w:rsidR="00C02277" w:rsidRPr="009E4033" w:rsidRDefault="00C02277" w:rsidP="002073B1">
          <w:pPr>
            <w:pStyle w:val="a3"/>
            <w:jc w:val="center"/>
            <w:rPr>
              <w:rFonts w:ascii="Times New Roman" w:hAnsi="Times New Roman" w:cs="Times New Roman"/>
              <w:b/>
              <w:color w:val="0070C0"/>
              <w:sz w:val="32"/>
              <w:szCs w:val="32"/>
            </w:rPr>
          </w:pPr>
        </w:p>
        <w:p w:rsidR="004D150E" w:rsidRPr="004D150E" w:rsidRDefault="004D150E" w:rsidP="004D150E">
          <w:pPr>
            <w:pStyle w:val="a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645CF1" w:rsidRPr="009E4033" w:rsidRDefault="004D150E" w:rsidP="004D150E">
          <w:pPr>
            <w:pStyle w:val="a3"/>
            <w:jc w:val="center"/>
            <w:rPr>
              <w:rFonts w:ascii="Times New Roman" w:hAnsi="Times New Roman" w:cs="Times New Roman"/>
              <w:b/>
              <w:color w:val="FF0000"/>
              <w:sz w:val="48"/>
              <w:szCs w:val="48"/>
            </w:rPr>
          </w:pPr>
          <w:r w:rsidRPr="009E4033">
            <w:rPr>
              <w:rFonts w:ascii="Times New Roman" w:hAnsi="Times New Roman" w:cs="Times New Roman"/>
              <w:b/>
              <w:color w:val="FF0000"/>
              <w:sz w:val="48"/>
              <w:szCs w:val="48"/>
            </w:rPr>
            <w:t>С</w:t>
          </w:r>
          <w:r w:rsidR="00645CF1" w:rsidRPr="009E4033">
            <w:rPr>
              <w:rFonts w:ascii="Times New Roman" w:hAnsi="Times New Roman" w:cs="Times New Roman"/>
              <w:b/>
              <w:color w:val="FF0000"/>
              <w:sz w:val="48"/>
              <w:szCs w:val="48"/>
            </w:rPr>
            <w:t>ОГЛАШЕНИЯ</w:t>
          </w:r>
        </w:p>
        <w:p w:rsidR="004D150E" w:rsidRPr="009E4033" w:rsidRDefault="004D150E" w:rsidP="004D150E">
          <w:pPr>
            <w:pStyle w:val="a3"/>
            <w:jc w:val="center"/>
            <w:rPr>
              <w:rFonts w:ascii="Times New Roman" w:hAnsi="Times New Roman" w:cs="Times New Roman"/>
              <w:b/>
              <w:bCs/>
              <w:color w:val="FF0000"/>
              <w:sz w:val="48"/>
              <w:szCs w:val="48"/>
            </w:rPr>
          </w:pPr>
          <w:r w:rsidRPr="009E4033">
            <w:rPr>
              <w:rFonts w:ascii="Times New Roman" w:hAnsi="Times New Roman" w:cs="Times New Roman"/>
              <w:b/>
              <w:color w:val="FF0000"/>
              <w:sz w:val="48"/>
              <w:szCs w:val="48"/>
            </w:rPr>
            <w:t xml:space="preserve"> </w:t>
          </w:r>
          <w:r w:rsidRPr="009E4033">
            <w:rPr>
              <w:rFonts w:ascii="Times New Roman" w:hAnsi="Times New Roman" w:cs="Times New Roman"/>
              <w:b/>
              <w:bCs/>
              <w:color w:val="FF0000"/>
              <w:sz w:val="48"/>
              <w:szCs w:val="48"/>
            </w:rPr>
            <w:t xml:space="preserve">между Правительством Республики Карелия, </w:t>
          </w:r>
        </w:p>
        <w:p w:rsidR="004D150E" w:rsidRPr="009E4033" w:rsidRDefault="004D150E" w:rsidP="004D150E">
          <w:pPr>
            <w:pStyle w:val="a3"/>
            <w:jc w:val="center"/>
            <w:rPr>
              <w:rFonts w:ascii="Times New Roman" w:hAnsi="Times New Roman" w:cs="Times New Roman"/>
              <w:b/>
              <w:bCs/>
              <w:color w:val="FF0000"/>
              <w:sz w:val="48"/>
              <w:szCs w:val="48"/>
            </w:rPr>
          </w:pPr>
          <w:r w:rsidRPr="009E4033">
            <w:rPr>
              <w:rFonts w:ascii="Times New Roman" w:hAnsi="Times New Roman" w:cs="Times New Roman"/>
              <w:b/>
              <w:bCs/>
              <w:color w:val="FF0000"/>
              <w:sz w:val="48"/>
              <w:szCs w:val="48"/>
            </w:rPr>
            <w:t xml:space="preserve">ОО «Объединение организаций профсоюзов в Республике Карелия» и Союзом промышленников и предпринимателей (работодателей) Республики Карелия </w:t>
          </w:r>
        </w:p>
        <w:p w:rsidR="004D150E" w:rsidRPr="009E4033" w:rsidRDefault="004D150E" w:rsidP="004D150E">
          <w:pPr>
            <w:pStyle w:val="a3"/>
            <w:jc w:val="center"/>
            <w:rPr>
              <w:rFonts w:ascii="Times New Roman" w:hAnsi="Times New Roman" w:cs="Times New Roman"/>
              <w:b/>
              <w:bCs/>
              <w:color w:val="FF0000"/>
              <w:sz w:val="48"/>
              <w:szCs w:val="48"/>
            </w:rPr>
          </w:pPr>
          <w:r w:rsidRPr="009E4033">
            <w:rPr>
              <w:rFonts w:ascii="Times New Roman" w:hAnsi="Times New Roman" w:cs="Times New Roman"/>
              <w:b/>
              <w:bCs/>
              <w:color w:val="FF0000"/>
              <w:sz w:val="48"/>
              <w:szCs w:val="48"/>
            </w:rPr>
            <w:t>на 2013 – 2015 годы</w:t>
          </w:r>
        </w:p>
        <w:p w:rsidR="004D150E" w:rsidRDefault="004D150E" w:rsidP="004D150E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lang w:val="en-US"/>
            </w:rPr>
          </w:pPr>
        </w:p>
        <w:p w:rsidR="009E4033" w:rsidRPr="009E4033" w:rsidRDefault="009E4033" w:rsidP="004D150E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lang w:val="en-US"/>
            </w:rPr>
          </w:pPr>
        </w:p>
        <w:p w:rsidR="004D150E" w:rsidRDefault="004D150E" w:rsidP="004D150E">
          <w:pPr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582795" cy="3571875"/>
                <wp:effectExtent l="0" t="0" r="8255" b="0"/>
                <wp:docPr id="4" name="Рисунок 4" descr="http://yildizsogutma27.com/images/misyonumu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yildizsogutma27.com/images/misyonumu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6666" cy="3582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E1195" w:rsidRDefault="004E1195" w:rsidP="00551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F1FEA" w:rsidRPr="009F1C92" w:rsidRDefault="00BF1FEA" w:rsidP="003F2B16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ОБЯЗАТЕЛЬСТВА</w:t>
      </w:r>
    </w:p>
    <w:p w:rsidR="00BF1FEA" w:rsidRPr="009F1C92" w:rsidRDefault="00BF1FEA" w:rsidP="003F2B1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t>в области экономической политики</w:t>
      </w:r>
    </w:p>
    <w:p w:rsidR="00995389" w:rsidRPr="00995389" w:rsidRDefault="00995389" w:rsidP="0099538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89">
        <w:rPr>
          <w:rFonts w:ascii="Times New Roman" w:hAnsi="Times New Roman" w:cs="Times New Roman"/>
          <w:b/>
          <w:sz w:val="24"/>
          <w:szCs w:val="24"/>
        </w:rPr>
        <w:t>В Соглашении стороны договорились о проведении мониторинга показателей, отражающих уровень жизни населения.</w:t>
      </w:r>
    </w:p>
    <w:p w:rsidR="00D20642" w:rsidRDefault="00D20642" w:rsidP="00DE4BC3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C73C6" w:rsidRDefault="004C73C6" w:rsidP="0099538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4647">
        <w:rPr>
          <w:rFonts w:ascii="Times New Roman" w:hAnsi="Times New Roman" w:cs="Times New Roman"/>
          <w:b/>
          <w:color w:val="002060"/>
          <w:sz w:val="24"/>
          <w:szCs w:val="24"/>
        </w:rPr>
        <w:t>Показатели, отражающие уровень жизни населения</w:t>
      </w:r>
    </w:p>
    <w:tbl>
      <w:tblPr>
        <w:tblStyle w:val="a8"/>
        <w:tblW w:w="0" w:type="auto"/>
        <w:tblLook w:val="04A0"/>
      </w:tblPr>
      <w:tblGrid>
        <w:gridCol w:w="4726"/>
        <w:gridCol w:w="1604"/>
        <w:gridCol w:w="1474"/>
        <w:gridCol w:w="1483"/>
      </w:tblGrid>
      <w:tr w:rsidR="000959E9" w:rsidRPr="00D20642" w:rsidTr="00D20642">
        <w:trPr>
          <w:trHeight w:val="238"/>
        </w:trPr>
        <w:tc>
          <w:tcPr>
            <w:tcW w:w="5178" w:type="dxa"/>
          </w:tcPr>
          <w:p w:rsidR="000959E9" w:rsidRPr="00D20642" w:rsidRDefault="000959E9" w:rsidP="00D206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3" w:type="dxa"/>
          </w:tcPr>
          <w:p w:rsidR="000959E9" w:rsidRPr="00D20642" w:rsidRDefault="000959E9" w:rsidP="00D206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 w:rsidR="00530CDB"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92" w:type="dxa"/>
          </w:tcPr>
          <w:p w:rsidR="000959E9" w:rsidRPr="00D20642" w:rsidRDefault="000959E9" w:rsidP="00D206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602" w:type="dxa"/>
          </w:tcPr>
          <w:p w:rsidR="000959E9" w:rsidRPr="00D20642" w:rsidRDefault="000959E9" w:rsidP="00D206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0959E9" w:rsidRPr="00D20642" w:rsidTr="00D20642">
        <w:trPr>
          <w:trHeight w:val="474"/>
        </w:trPr>
        <w:tc>
          <w:tcPr>
            <w:tcW w:w="5178" w:type="dxa"/>
          </w:tcPr>
          <w:p w:rsidR="000959E9" w:rsidRPr="00D20642" w:rsidRDefault="000959E9" w:rsidP="00530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1743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  <w:tc>
          <w:tcPr>
            <w:tcW w:w="159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160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0959E9" w:rsidRPr="00D20642" w:rsidTr="00D20642">
        <w:trPr>
          <w:trHeight w:val="474"/>
        </w:trPr>
        <w:tc>
          <w:tcPr>
            <w:tcW w:w="5178" w:type="dxa"/>
          </w:tcPr>
          <w:p w:rsidR="000959E9" w:rsidRPr="00D20642" w:rsidRDefault="000959E9" w:rsidP="00530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объёма оборота розничной торговли, %</w:t>
            </w:r>
          </w:p>
        </w:tc>
        <w:tc>
          <w:tcPr>
            <w:tcW w:w="1743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59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160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92,9</w:t>
            </w:r>
          </w:p>
        </w:tc>
      </w:tr>
      <w:tr w:rsidR="000959E9" w:rsidRPr="00D20642" w:rsidTr="00D20642">
        <w:trPr>
          <w:trHeight w:val="238"/>
        </w:trPr>
        <w:tc>
          <w:tcPr>
            <w:tcW w:w="5178" w:type="dxa"/>
          </w:tcPr>
          <w:p w:rsidR="000959E9" w:rsidRPr="00D20642" w:rsidRDefault="000959E9" w:rsidP="00530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 xml:space="preserve">индекс потребительских цен, </w:t>
            </w:r>
            <w:r w:rsidR="00124974" w:rsidRPr="00D20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3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106,5</w:t>
            </w:r>
          </w:p>
        </w:tc>
        <w:tc>
          <w:tcPr>
            <w:tcW w:w="159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110,9</w:t>
            </w:r>
          </w:p>
        </w:tc>
        <w:tc>
          <w:tcPr>
            <w:tcW w:w="160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112,3</w:t>
            </w:r>
          </w:p>
        </w:tc>
      </w:tr>
      <w:tr w:rsidR="000959E9" w:rsidRPr="00D20642" w:rsidTr="00D20642">
        <w:trPr>
          <w:trHeight w:val="733"/>
        </w:trPr>
        <w:tc>
          <w:tcPr>
            <w:tcW w:w="5178" w:type="dxa"/>
          </w:tcPr>
          <w:p w:rsidR="000959E9" w:rsidRPr="00D20642" w:rsidRDefault="000959E9" w:rsidP="004C09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="004C097D" w:rsidRPr="008A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среднемесячной номинальной заработной платы, %</w:t>
            </w:r>
          </w:p>
        </w:tc>
        <w:tc>
          <w:tcPr>
            <w:tcW w:w="1743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110,4</w:t>
            </w:r>
          </w:p>
        </w:tc>
        <w:tc>
          <w:tcPr>
            <w:tcW w:w="159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160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103,8</w:t>
            </w:r>
          </w:p>
        </w:tc>
      </w:tr>
      <w:tr w:rsidR="000959E9" w:rsidRPr="00D20642" w:rsidTr="00D20642">
        <w:trPr>
          <w:trHeight w:val="474"/>
        </w:trPr>
        <w:tc>
          <w:tcPr>
            <w:tcW w:w="5178" w:type="dxa"/>
          </w:tcPr>
          <w:p w:rsidR="000959E9" w:rsidRPr="00D20642" w:rsidRDefault="000959E9" w:rsidP="00530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темп роста среднедушевых денежных доходов населения, %</w:t>
            </w:r>
          </w:p>
        </w:tc>
        <w:tc>
          <w:tcPr>
            <w:tcW w:w="1743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159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109,4</w:t>
            </w:r>
          </w:p>
        </w:tc>
        <w:tc>
          <w:tcPr>
            <w:tcW w:w="160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113,2</w:t>
            </w:r>
          </w:p>
        </w:tc>
      </w:tr>
      <w:tr w:rsidR="000959E9" w:rsidRPr="00D20642" w:rsidTr="00D20642">
        <w:trPr>
          <w:trHeight w:val="497"/>
        </w:trPr>
        <w:tc>
          <w:tcPr>
            <w:tcW w:w="5178" w:type="dxa"/>
          </w:tcPr>
          <w:p w:rsidR="000959E9" w:rsidRPr="00D20642" w:rsidRDefault="000959E9" w:rsidP="00530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sz w:val="24"/>
                <w:szCs w:val="24"/>
              </w:rPr>
              <w:t>реальные денежные доходы населения, %</w:t>
            </w:r>
          </w:p>
        </w:tc>
        <w:tc>
          <w:tcPr>
            <w:tcW w:w="1743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  <w:tc>
          <w:tcPr>
            <w:tcW w:w="159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602" w:type="dxa"/>
          </w:tcPr>
          <w:p w:rsidR="000959E9" w:rsidRPr="00D20642" w:rsidRDefault="000959E9" w:rsidP="00530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42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</w:tbl>
    <w:p w:rsidR="00DA6CBF" w:rsidRDefault="00DA6CBF" w:rsidP="00DA6CBF">
      <w:pPr>
        <w:pStyle w:val="a3"/>
        <w:jc w:val="center"/>
      </w:pPr>
    </w:p>
    <w:p w:rsidR="00DA6CBF" w:rsidRPr="000B4647" w:rsidRDefault="00DA6CBF" w:rsidP="00D20642">
      <w:pPr>
        <w:pStyle w:val="a3"/>
        <w:tabs>
          <w:tab w:val="left" w:pos="2363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B4647">
        <w:rPr>
          <w:rFonts w:ascii="Times New Roman" w:hAnsi="Times New Roman" w:cs="Times New Roman"/>
          <w:b/>
          <w:color w:val="002060"/>
          <w:sz w:val="24"/>
          <w:szCs w:val="24"/>
        </w:rPr>
        <w:t>Индекс промышленного производства по Республике Карелия, Р</w:t>
      </w:r>
      <w:r w:rsidR="007C178E" w:rsidRPr="000B4647">
        <w:rPr>
          <w:rFonts w:ascii="Times New Roman" w:hAnsi="Times New Roman" w:cs="Times New Roman"/>
          <w:b/>
          <w:color w:val="002060"/>
          <w:sz w:val="24"/>
          <w:szCs w:val="24"/>
        </w:rPr>
        <w:t>оссийской Федерации</w:t>
      </w:r>
      <w:r w:rsidRPr="000B46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С</w:t>
      </w:r>
      <w:r w:rsidR="007C178E" w:rsidRPr="000B4647">
        <w:rPr>
          <w:rFonts w:ascii="Times New Roman" w:hAnsi="Times New Roman" w:cs="Times New Roman"/>
          <w:b/>
          <w:color w:val="002060"/>
          <w:sz w:val="24"/>
          <w:szCs w:val="24"/>
        </w:rPr>
        <w:t>еверо-Западном</w:t>
      </w:r>
      <w:r w:rsidR="004E0883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r w:rsidR="007C178E" w:rsidRPr="000B46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федеральном</w:t>
      </w:r>
      <w:r w:rsidR="004E0883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r w:rsidR="007C178E" w:rsidRPr="000B46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округ</w:t>
      </w:r>
      <w:r w:rsidR="004E0883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r w:rsidRPr="000B46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proofErr w:type="gramStart"/>
      <w:r w:rsidR="00C15B66">
        <w:rPr>
          <w:rFonts w:ascii="Times New Roman" w:hAnsi="Times New Roman" w:cs="Times New Roman"/>
          <w:b/>
          <w:color w:val="002060"/>
          <w:sz w:val="24"/>
          <w:szCs w:val="24"/>
        </w:rPr>
        <w:t>в</w:t>
      </w:r>
      <w:proofErr w:type="gramEnd"/>
      <w:r w:rsidR="00C15B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0B4647">
        <w:rPr>
          <w:rFonts w:ascii="Times New Roman" w:hAnsi="Times New Roman" w:cs="Times New Roman"/>
          <w:b/>
          <w:color w:val="002060"/>
          <w:sz w:val="24"/>
          <w:szCs w:val="24"/>
        </w:rPr>
        <w:t>%</w:t>
      </w:r>
      <w:r w:rsidR="00C15B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C15B66">
        <w:rPr>
          <w:rFonts w:ascii="Times New Roman" w:hAnsi="Times New Roman" w:cs="Times New Roman"/>
          <w:b/>
          <w:color w:val="002060"/>
          <w:sz w:val="24"/>
          <w:szCs w:val="24"/>
        </w:rPr>
        <w:t>к</w:t>
      </w:r>
      <w:proofErr w:type="gramEnd"/>
      <w:r w:rsidR="00C15B6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предыдущему году</w:t>
      </w:r>
    </w:p>
    <w:p w:rsidR="00E166B2" w:rsidRPr="00DA6CBF" w:rsidRDefault="00E166B2" w:rsidP="00E166B2">
      <w:pPr>
        <w:pStyle w:val="a3"/>
        <w:ind w:left="360"/>
        <w:rPr>
          <w:rFonts w:ascii="Times New Roman" w:hAnsi="Times New Roman" w:cs="Times New Roman"/>
          <w:b/>
        </w:rPr>
      </w:pPr>
    </w:p>
    <w:p w:rsidR="004C73C6" w:rsidRDefault="00E166B2" w:rsidP="00124974">
      <w:pPr>
        <w:pStyle w:val="a3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-81330</wp:posOffset>
            </wp:positionH>
            <wp:positionV relativeFrom="paragraph">
              <wp:posOffset>155038</wp:posOffset>
            </wp:positionV>
            <wp:extent cx="5922499" cy="2152357"/>
            <wp:effectExtent l="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F1FEA" w:rsidRDefault="00BF1FEA" w:rsidP="00551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FEA" w:rsidRDefault="00BF1FEA" w:rsidP="00551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3FE" w:rsidRDefault="000443FE" w:rsidP="00551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3FE" w:rsidRDefault="000443FE" w:rsidP="00551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3FE" w:rsidRDefault="000443FE" w:rsidP="00551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3FE" w:rsidRDefault="000443FE" w:rsidP="00551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3FE" w:rsidRDefault="000443FE" w:rsidP="00551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3FE" w:rsidRDefault="000443FE" w:rsidP="00551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3FE" w:rsidRDefault="000443FE" w:rsidP="00551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9C4" w:rsidRDefault="006D19C4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940A6" w:rsidRPr="009E4033" w:rsidRDefault="00D940A6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D19C4" w:rsidRPr="002073B1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Индексы промышленного производства</w:t>
      </w:r>
      <w:r w:rsidR="00DF111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 Республике Карелия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 основным видам </w:t>
      </w:r>
      <w:r w:rsidR="008A3EC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экономической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деятельности, в % к предыдущему году</w:t>
      </w:r>
      <w:r w:rsidR="00D20642" w:rsidRPr="002959EB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5276850" cy="2286000"/>
            <wp:effectExtent l="0" t="0" r="0" b="0"/>
            <wp:docPr id="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59EB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C2BA2" w:rsidRDefault="000C2BA2" w:rsidP="006C2C99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59DA" w:rsidRPr="009F1C92" w:rsidRDefault="00E359DA" w:rsidP="006C2C99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ОБЯЗАТЕЛЬСТВА</w:t>
      </w:r>
    </w:p>
    <w:p w:rsidR="00477597" w:rsidRDefault="00E359DA" w:rsidP="00E359D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t>в области содействия занятости</w:t>
      </w:r>
      <w:r w:rsidR="000B4264" w:rsidRPr="009F1C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населения</w:t>
      </w:r>
    </w:p>
    <w:p w:rsidR="0027266C" w:rsidRDefault="0027266C" w:rsidP="00E359D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84436" w:rsidRPr="00584436" w:rsidRDefault="00584436" w:rsidP="00D463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В Соглашении Правительство Республики Карелия совместно с работодателями приняли на себя обязательство за счет реализации мероприятий активной политики занятости населения не допустить роста уровня регистрируемой безработицы в целом по Республике Карелия  выше 2,2 – 2,3% от экономически активного населения. </w:t>
      </w:r>
    </w:p>
    <w:p w:rsidR="00477597" w:rsidRDefault="00477597" w:rsidP="00E359D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27B1A" w:rsidRPr="00AC6894" w:rsidRDefault="00477597" w:rsidP="00E359DA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C689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Динамика уровня регистрируемой безработицы, </w:t>
      </w:r>
      <w:proofErr w:type="gramStart"/>
      <w:r w:rsidRPr="00AC6894">
        <w:rPr>
          <w:rFonts w:ascii="Times New Roman" w:hAnsi="Times New Roman" w:cs="Times New Roman"/>
          <w:b/>
          <w:color w:val="002060"/>
          <w:sz w:val="24"/>
          <w:szCs w:val="24"/>
        </w:rPr>
        <w:t>в</w:t>
      </w:r>
      <w:proofErr w:type="gramEnd"/>
      <w:r w:rsidRPr="00AC689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% к ЭАН</w:t>
      </w:r>
    </w:p>
    <w:p w:rsidR="006B273F" w:rsidRPr="007A106A" w:rsidRDefault="00477597" w:rsidP="00E359DA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98425</wp:posOffset>
            </wp:positionV>
            <wp:extent cx="6410325" cy="3352800"/>
            <wp:effectExtent l="0" t="0" r="0" b="0"/>
            <wp:wrapNone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359DA" w:rsidRPr="000B7C29" w:rsidRDefault="00E359DA" w:rsidP="00E359DA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359DA" w:rsidRPr="009F1C92" w:rsidRDefault="00E359DA" w:rsidP="00E359D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59EB" w:rsidRPr="009F1C92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59EB" w:rsidRPr="009F1C92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59EB" w:rsidRPr="009F1C92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59EB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3094" w:rsidRDefault="002A3094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3094" w:rsidRDefault="002A3094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3094" w:rsidRDefault="002A3094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3094" w:rsidRPr="009F1C92" w:rsidRDefault="002A3094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59EB" w:rsidRPr="009F1C92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59EB" w:rsidRPr="009F1C92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59EB" w:rsidRPr="009F1C92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59EB" w:rsidRPr="009F1C92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59EB" w:rsidRPr="009F1C92" w:rsidRDefault="002959E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1A78" w:rsidRPr="009F1C92" w:rsidRDefault="00241A78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3094" w:rsidRDefault="002A3094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643F" w:rsidRDefault="00A0643F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3094" w:rsidRPr="00AC6894" w:rsidRDefault="00C07D00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C6894">
        <w:rPr>
          <w:rFonts w:ascii="Times New Roman" w:hAnsi="Times New Roman" w:cs="Times New Roman"/>
          <w:b/>
          <w:color w:val="002060"/>
          <w:sz w:val="24"/>
          <w:szCs w:val="24"/>
        </w:rPr>
        <w:t>Уровень регистрируемой безработицы</w:t>
      </w:r>
      <w:r w:rsidR="00A0643F" w:rsidRPr="00AC6894">
        <w:rPr>
          <w:rFonts w:ascii="Times New Roman" w:hAnsi="Times New Roman" w:cs="Times New Roman"/>
          <w:b/>
          <w:color w:val="002060"/>
          <w:sz w:val="24"/>
          <w:szCs w:val="24"/>
        </w:rPr>
        <w:t>, %</w:t>
      </w:r>
      <w:r w:rsidRPr="00AC689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07D00" w:rsidRDefault="00C07D00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07D00" w:rsidRPr="00C07D00" w:rsidRDefault="00C57D11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286500" cy="320040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3094" w:rsidRDefault="002A3094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3094" w:rsidRDefault="002A3094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3094" w:rsidRDefault="005A3B0C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Итоги выполнения мероприятий в области содействия занятости населения</w:t>
      </w:r>
    </w:p>
    <w:p w:rsidR="005A3B0C" w:rsidRDefault="005A3B0C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в 2013 -2015 г.г.</w:t>
      </w:r>
    </w:p>
    <w:p w:rsidR="005A3B0C" w:rsidRDefault="005A3B0C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9091" w:type="dxa"/>
        <w:tblCellMar>
          <w:left w:w="0" w:type="dxa"/>
          <w:right w:w="0" w:type="dxa"/>
        </w:tblCellMar>
        <w:tblLook w:val="04A0"/>
      </w:tblPr>
      <w:tblGrid>
        <w:gridCol w:w="5384"/>
        <w:gridCol w:w="1239"/>
        <w:gridCol w:w="1234"/>
        <w:gridCol w:w="1234"/>
      </w:tblGrid>
      <w:tr w:rsidR="00CA6C0D" w:rsidRPr="00855766" w:rsidTr="00CA6C0D">
        <w:trPr>
          <w:trHeight w:val="615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6C0D" w:rsidRPr="00855766" w:rsidRDefault="00CA6C0D" w:rsidP="00CA6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576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Мероприятия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6C0D" w:rsidRPr="00855766" w:rsidRDefault="00CA6C0D" w:rsidP="00CA6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576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2013 г.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vAlign w:val="center"/>
          </w:tcPr>
          <w:p w:rsidR="00CA6C0D" w:rsidRPr="00855766" w:rsidRDefault="00CA6C0D" w:rsidP="00CA6C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576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2014 г.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vAlign w:val="center"/>
          </w:tcPr>
          <w:p w:rsidR="00CA6C0D" w:rsidRPr="00855766" w:rsidRDefault="00CA6C0D" w:rsidP="00CA6C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576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2014 г.</w:t>
            </w:r>
          </w:p>
        </w:tc>
      </w:tr>
      <w:tr w:rsidR="00CA6C0D" w:rsidRPr="00CA6C0D" w:rsidTr="009C02D3">
        <w:trPr>
          <w:trHeight w:val="505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6C0D" w:rsidRPr="00CA6C0D" w:rsidRDefault="00CA6C0D" w:rsidP="00CA6C0D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A6C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Организация временного трудоустройства безработных граждан, испытывающих трудности в поиске работы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6C0D" w:rsidRPr="00CA6C0D" w:rsidRDefault="002E4181" w:rsidP="009C0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344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6C0D" w:rsidRPr="00CA6C0D" w:rsidRDefault="002E4181" w:rsidP="009C02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6C0D" w:rsidRPr="00CA6C0D" w:rsidRDefault="002E4181" w:rsidP="009C02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301</w:t>
            </w:r>
          </w:p>
        </w:tc>
      </w:tr>
      <w:tr w:rsidR="006F385E" w:rsidRPr="00CA6C0D" w:rsidTr="009C02D3">
        <w:trPr>
          <w:trHeight w:val="505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CA6C0D" w:rsidRDefault="006F385E" w:rsidP="00CA6C0D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F385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Организация временного трудоустройства безработных граждан в возрасте от 18 до 20 лет, имеющих среднее проф. образование и ищущих работу впервые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6F385E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38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6F385E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F385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F385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CA6C0D" w:rsidRDefault="006F385E" w:rsidP="00CA6C0D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A6C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9C02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1757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9C02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1639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9C02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1507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A6C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Содействие </w:t>
            </w:r>
            <w:proofErr w:type="spellStart"/>
            <w:r w:rsidRPr="00CA6C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самозанятости</w:t>
            </w:r>
            <w:proofErr w:type="spellEnd"/>
            <w:r w:rsidRPr="00CA6C0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безработных граждан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274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209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111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Профессиональное обучение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и дополнительное профессиональное образование</w:t>
            </w:r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безработных граждан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1926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1485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1504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AC4A47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Профессиональное обучение женщин в период отпуска по уходу за ребенком до достижения им возраста трех лет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174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179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AC4A47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Профессиональное обучение пенсионеров, стремящихся возобновить трудовую деятельность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AC4A47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Организация профессиональной ориентации граждан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22270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22370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25893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AC4A47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Психологическая поддержка безработных граждан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1216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1253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1303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AC4A47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Социальная адаптация безработных граждан на рынке труда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1213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1257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1298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AC4A47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Оборудование (оснащение) рабочих мест для трудоустройства незанятых инвалидов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58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AC4A47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Стажировка выпускников образовательных организаций </w:t>
            </w:r>
            <w:proofErr w:type="gramStart"/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профессионального</w:t>
            </w:r>
            <w:proofErr w:type="gramEnd"/>
            <w:r w:rsidRPr="00AC4A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62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Pr="00AC4A47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5680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5501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Pr="00CA6C0D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4872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1996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1799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1671</w:t>
            </w:r>
          </w:p>
        </w:tc>
      </w:tr>
      <w:tr w:rsidR="006F385E" w:rsidRPr="00CA6C0D" w:rsidTr="009C02D3">
        <w:trPr>
          <w:trHeight w:val="753"/>
        </w:trPr>
        <w:tc>
          <w:tcPr>
            <w:tcW w:w="5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385E" w:rsidRDefault="006F385E" w:rsidP="00D34423">
            <w:pPr>
              <w:pStyle w:val="a3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Содействие безработным гражданам в переезде  и безработным гражданам и членам их семей в переселении в другую местность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385E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385E" w:rsidRDefault="006F385E" w:rsidP="00D34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</w:tr>
    </w:tbl>
    <w:p w:rsidR="00CA6C0D" w:rsidRPr="005A3B0C" w:rsidRDefault="00CA6C0D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3094" w:rsidRDefault="002A3094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3094" w:rsidRDefault="002A3094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1A78" w:rsidRPr="009F1C92" w:rsidRDefault="002A797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ОБЯЗАТЕЛЬСТВА </w:t>
      </w:r>
    </w:p>
    <w:p w:rsidR="002A797B" w:rsidRPr="009F1C92" w:rsidRDefault="002A797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t>в области оплаты труда, доходов и уровня жизни населения</w:t>
      </w:r>
    </w:p>
    <w:p w:rsidR="00241A78" w:rsidRPr="009F1C92" w:rsidRDefault="00241A78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59EB" w:rsidRPr="009D3740" w:rsidRDefault="009D3740" w:rsidP="009D374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40">
        <w:rPr>
          <w:rFonts w:ascii="Times New Roman" w:hAnsi="Times New Roman" w:cs="Times New Roman"/>
          <w:b/>
          <w:sz w:val="24"/>
          <w:szCs w:val="24"/>
        </w:rPr>
        <w:t>Стороны в Соглашении договорились проводить согласованную работу по обеспечению в 2015 году: роста среднемесячной номинальной начисленной заработной платы в целом по республике - до 34700 рублей; роста реальных располагаемых денежных доходов к предыдущему году – 104,0%. Кроме этого, социальные партнеры договорились о принятии совместных мер по своевременной выплате заработной платы работникам предприятий и организаций республики, снижению доли населения с доходами ниже величины прожиточного минимума до 15,2%.</w:t>
      </w:r>
      <w:r w:rsidRPr="009D3740">
        <w:rPr>
          <w:rFonts w:ascii="Times New Roman" w:hAnsi="Times New Roman" w:cs="Times New Roman"/>
          <w:b/>
          <w:sz w:val="24"/>
          <w:szCs w:val="24"/>
        </w:rPr>
        <w:tab/>
      </w:r>
    </w:p>
    <w:p w:rsidR="002A797B" w:rsidRPr="009F1C92" w:rsidRDefault="002A797B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F076D" w:rsidRDefault="00B8390B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Соотношение доходов населения с величиной прожиточного минимума</w:t>
      </w:r>
    </w:p>
    <w:tbl>
      <w:tblPr>
        <w:tblStyle w:val="a8"/>
        <w:tblW w:w="0" w:type="auto"/>
        <w:tblLook w:val="04A0"/>
      </w:tblPr>
      <w:tblGrid>
        <w:gridCol w:w="4786"/>
        <w:gridCol w:w="1473"/>
        <w:gridCol w:w="1419"/>
        <w:gridCol w:w="1365"/>
      </w:tblGrid>
      <w:tr w:rsidR="00B8390B" w:rsidRPr="00B55664" w:rsidTr="00B8390B">
        <w:tc>
          <w:tcPr>
            <w:tcW w:w="4786" w:type="dxa"/>
          </w:tcPr>
          <w:p w:rsidR="00B8390B" w:rsidRPr="00B55664" w:rsidRDefault="00B8390B" w:rsidP="00551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8390B" w:rsidRPr="00B55664" w:rsidRDefault="00B8390B" w:rsidP="00551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64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19" w:type="dxa"/>
          </w:tcPr>
          <w:p w:rsidR="00B8390B" w:rsidRPr="00B55664" w:rsidRDefault="00B8390B" w:rsidP="00551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6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65" w:type="dxa"/>
          </w:tcPr>
          <w:p w:rsidR="00B8390B" w:rsidRPr="00B55664" w:rsidRDefault="00B8390B" w:rsidP="00551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6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B8390B" w:rsidRPr="00B8390B" w:rsidTr="00B55664">
        <w:tc>
          <w:tcPr>
            <w:tcW w:w="4786" w:type="dxa"/>
          </w:tcPr>
          <w:p w:rsidR="00B8390B" w:rsidRPr="00B8390B" w:rsidRDefault="00B8390B" w:rsidP="00B83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90B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работника, руб.</w:t>
            </w:r>
          </w:p>
        </w:tc>
        <w:tc>
          <w:tcPr>
            <w:tcW w:w="1473" w:type="dxa"/>
            <w:vAlign w:val="center"/>
          </w:tcPr>
          <w:p w:rsidR="00B8390B" w:rsidRPr="00B8390B" w:rsidRDefault="00B8390B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0B">
              <w:rPr>
                <w:rFonts w:ascii="Times New Roman" w:hAnsi="Times New Roman" w:cs="Times New Roman"/>
                <w:sz w:val="24"/>
                <w:szCs w:val="24"/>
              </w:rPr>
              <w:t>27503,3</w:t>
            </w:r>
          </w:p>
        </w:tc>
        <w:tc>
          <w:tcPr>
            <w:tcW w:w="1419" w:type="dxa"/>
            <w:vAlign w:val="center"/>
          </w:tcPr>
          <w:p w:rsidR="00B8390B" w:rsidRPr="00B8390B" w:rsidRDefault="00B8390B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0B">
              <w:rPr>
                <w:rFonts w:ascii="Times New Roman" w:hAnsi="Times New Roman" w:cs="Times New Roman"/>
                <w:sz w:val="24"/>
                <w:szCs w:val="24"/>
              </w:rPr>
              <w:t>29370,7</w:t>
            </w:r>
          </w:p>
        </w:tc>
        <w:tc>
          <w:tcPr>
            <w:tcW w:w="1365" w:type="dxa"/>
            <w:vAlign w:val="center"/>
          </w:tcPr>
          <w:p w:rsidR="00B8390B" w:rsidRPr="00B8390B" w:rsidRDefault="00B8390B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0B">
              <w:rPr>
                <w:rFonts w:ascii="Times New Roman" w:hAnsi="Times New Roman" w:cs="Times New Roman"/>
                <w:sz w:val="24"/>
                <w:szCs w:val="24"/>
              </w:rPr>
              <w:t>30306,2</w:t>
            </w:r>
          </w:p>
        </w:tc>
      </w:tr>
      <w:tr w:rsidR="0036247F" w:rsidRPr="00B8390B" w:rsidTr="00B55664">
        <w:tc>
          <w:tcPr>
            <w:tcW w:w="4786" w:type="dxa"/>
          </w:tcPr>
          <w:p w:rsidR="0036247F" w:rsidRPr="00B8390B" w:rsidRDefault="0036247F" w:rsidP="00B83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заработная 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73" w:type="dxa"/>
            <w:vAlign w:val="center"/>
          </w:tcPr>
          <w:p w:rsidR="0036247F" w:rsidRPr="00B8390B" w:rsidRDefault="0036247F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419" w:type="dxa"/>
            <w:vAlign w:val="center"/>
          </w:tcPr>
          <w:p w:rsidR="0036247F" w:rsidRPr="00B8390B" w:rsidRDefault="0036247F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365" w:type="dxa"/>
            <w:vAlign w:val="center"/>
          </w:tcPr>
          <w:p w:rsidR="0036247F" w:rsidRPr="00B8390B" w:rsidRDefault="0036247F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B8390B" w:rsidRPr="00B8390B" w:rsidTr="00B55664">
        <w:tc>
          <w:tcPr>
            <w:tcW w:w="4786" w:type="dxa"/>
          </w:tcPr>
          <w:p w:rsidR="00B8390B" w:rsidRPr="00B8390B" w:rsidRDefault="00B8390B" w:rsidP="00B83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на душу населения, руб.</w:t>
            </w:r>
          </w:p>
        </w:tc>
        <w:tc>
          <w:tcPr>
            <w:tcW w:w="1473" w:type="dxa"/>
            <w:vAlign w:val="center"/>
          </w:tcPr>
          <w:p w:rsidR="00B8390B" w:rsidRPr="00B8390B" w:rsidRDefault="00B8390B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</w:t>
            </w:r>
          </w:p>
        </w:tc>
        <w:tc>
          <w:tcPr>
            <w:tcW w:w="1419" w:type="dxa"/>
            <w:vAlign w:val="center"/>
          </w:tcPr>
          <w:p w:rsidR="00B8390B" w:rsidRPr="00B8390B" w:rsidRDefault="00B8390B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9682</w:t>
            </w:r>
          </w:p>
        </w:tc>
        <w:tc>
          <w:tcPr>
            <w:tcW w:w="1365" w:type="dxa"/>
            <w:vAlign w:val="center"/>
          </w:tcPr>
          <w:p w:rsidR="00B8390B" w:rsidRPr="00B8390B" w:rsidRDefault="00B8390B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11569</w:t>
            </w:r>
          </w:p>
        </w:tc>
      </w:tr>
      <w:tr w:rsidR="00B55664" w:rsidRPr="00B8390B" w:rsidTr="00B55664">
        <w:tc>
          <w:tcPr>
            <w:tcW w:w="4786" w:type="dxa"/>
          </w:tcPr>
          <w:p w:rsidR="00B55664" w:rsidRDefault="00B55664" w:rsidP="00B83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на душу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73" w:type="dxa"/>
            <w:vAlign w:val="center"/>
          </w:tcPr>
          <w:p w:rsidR="00B55664" w:rsidRDefault="00B55664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419" w:type="dxa"/>
            <w:vAlign w:val="center"/>
          </w:tcPr>
          <w:p w:rsidR="00B55664" w:rsidRDefault="00B55664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365" w:type="dxa"/>
            <w:vAlign w:val="center"/>
          </w:tcPr>
          <w:p w:rsidR="00B55664" w:rsidRDefault="00B55664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B55664" w:rsidRPr="00B8390B" w:rsidTr="00B55664">
        <w:tc>
          <w:tcPr>
            <w:tcW w:w="4786" w:type="dxa"/>
          </w:tcPr>
          <w:p w:rsidR="00B55664" w:rsidRDefault="00B55664" w:rsidP="00B55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населения, руб.</w:t>
            </w:r>
          </w:p>
        </w:tc>
        <w:tc>
          <w:tcPr>
            <w:tcW w:w="1473" w:type="dxa"/>
            <w:vAlign w:val="center"/>
          </w:tcPr>
          <w:p w:rsidR="00B55664" w:rsidRDefault="00B55664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21493,9</w:t>
            </w:r>
          </w:p>
        </w:tc>
        <w:tc>
          <w:tcPr>
            <w:tcW w:w="1419" w:type="dxa"/>
            <w:vAlign w:val="center"/>
          </w:tcPr>
          <w:p w:rsidR="00B55664" w:rsidRDefault="00B55664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22938,7</w:t>
            </w:r>
          </w:p>
        </w:tc>
        <w:tc>
          <w:tcPr>
            <w:tcW w:w="1365" w:type="dxa"/>
            <w:vAlign w:val="center"/>
          </w:tcPr>
          <w:p w:rsidR="00B55664" w:rsidRDefault="00B55664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25984,9</w:t>
            </w:r>
          </w:p>
        </w:tc>
      </w:tr>
      <w:tr w:rsidR="00B55664" w:rsidRPr="00B8390B" w:rsidTr="00B55664">
        <w:tc>
          <w:tcPr>
            <w:tcW w:w="4786" w:type="dxa"/>
          </w:tcPr>
          <w:p w:rsidR="00B55664" w:rsidRDefault="00B55664" w:rsidP="00B55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Среднедушевые денежные доходы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величине прожиточного минимума </w:t>
            </w:r>
          </w:p>
        </w:tc>
        <w:tc>
          <w:tcPr>
            <w:tcW w:w="1473" w:type="dxa"/>
            <w:vAlign w:val="center"/>
          </w:tcPr>
          <w:p w:rsidR="00B55664" w:rsidRDefault="00B55664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419" w:type="dxa"/>
            <w:vAlign w:val="center"/>
          </w:tcPr>
          <w:p w:rsidR="00B55664" w:rsidRDefault="00B55664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365" w:type="dxa"/>
            <w:vAlign w:val="center"/>
          </w:tcPr>
          <w:p w:rsidR="00B55664" w:rsidRDefault="00B55664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D34423" w:rsidRPr="00B8390B" w:rsidTr="00B55664">
        <w:tc>
          <w:tcPr>
            <w:tcW w:w="4786" w:type="dxa"/>
          </w:tcPr>
          <w:p w:rsidR="00D34423" w:rsidRDefault="00D34423" w:rsidP="00B55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</w:t>
            </w:r>
            <w:r w:rsidR="00CE5EDC">
              <w:rPr>
                <w:rFonts w:ascii="Times New Roman" w:hAnsi="Times New Roman" w:cs="Times New Roman"/>
                <w:sz w:val="24"/>
                <w:szCs w:val="24"/>
              </w:rPr>
              <w:t>величины прожиточного минимума, %</w:t>
            </w:r>
          </w:p>
        </w:tc>
        <w:tc>
          <w:tcPr>
            <w:tcW w:w="1473" w:type="dxa"/>
            <w:vAlign w:val="center"/>
          </w:tcPr>
          <w:p w:rsidR="00D34423" w:rsidRDefault="00CE5EDC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9" w:type="dxa"/>
            <w:vAlign w:val="center"/>
          </w:tcPr>
          <w:p w:rsidR="00D34423" w:rsidRDefault="00CE5EDC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65" w:type="dxa"/>
            <w:vAlign w:val="center"/>
          </w:tcPr>
          <w:p w:rsidR="00D34423" w:rsidRDefault="00CE5EDC" w:rsidP="00B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</w:tbl>
    <w:p w:rsidR="00B8390B" w:rsidRPr="00B8390B" w:rsidRDefault="00B8390B" w:rsidP="005516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7B" w:rsidRDefault="00453995" w:rsidP="00453995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399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Изменение уровня заработной платы по отраслям социальной сферы и в целом по Республике Карелия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0F34C0" w:rsidRPr="0045399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 соответствии с Указом Президента Российской Федерации от 7 мая 2012 года № 597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F34C0" w:rsidRPr="0045399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«О мероприятиях по реализации государственной социальной политики»</w:t>
      </w:r>
    </w:p>
    <w:p w:rsidR="00611C70" w:rsidRPr="00453995" w:rsidRDefault="00611C70" w:rsidP="00453995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41A78" w:rsidRPr="009F1C92" w:rsidRDefault="00611C70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1C7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895975" cy="320992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076D" w:rsidRPr="009F1C92" w:rsidRDefault="00BF076D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ОБЯЗАТЕЛЬСТВА </w:t>
      </w:r>
    </w:p>
    <w:p w:rsidR="00BF076D" w:rsidRDefault="00BF076D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t>в области социальной защиты работников и населения</w:t>
      </w:r>
    </w:p>
    <w:p w:rsidR="00FF04AC" w:rsidRPr="00FF04AC" w:rsidRDefault="00FF04AC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921F3" w:rsidRDefault="00FF04AC" w:rsidP="00FF04A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AC">
        <w:rPr>
          <w:rFonts w:ascii="Times New Roman" w:hAnsi="Times New Roman" w:cs="Times New Roman"/>
          <w:b/>
          <w:sz w:val="24"/>
          <w:szCs w:val="24"/>
        </w:rPr>
        <w:t>Одним из обязатель</w:t>
      </w:r>
      <w:proofErr w:type="gramStart"/>
      <w:r w:rsidRPr="00FF04AC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FF04AC">
        <w:rPr>
          <w:rFonts w:ascii="Times New Roman" w:hAnsi="Times New Roman" w:cs="Times New Roman"/>
          <w:b/>
          <w:sz w:val="24"/>
          <w:szCs w:val="24"/>
        </w:rPr>
        <w:t>авительства Республики Карелия в Соглашении в области социальной защиты является обязательство по обеспечению освоения в полном объеме средств, предусмотренных  на реализацию всех запланированных мероприятий программы «Адресная социальная помощь»</w:t>
      </w:r>
      <w:r w:rsidR="003479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79A4" w:rsidRPr="00FF04AC">
        <w:rPr>
          <w:rFonts w:ascii="Times New Roman" w:hAnsi="Times New Roman" w:cs="Times New Roman"/>
          <w:b/>
          <w:sz w:val="24"/>
          <w:szCs w:val="24"/>
        </w:rPr>
        <w:t>на организацию отдых</w:t>
      </w:r>
      <w:r w:rsidR="003479A4">
        <w:rPr>
          <w:rFonts w:ascii="Times New Roman" w:hAnsi="Times New Roman" w:cs="Times New Roman"/>
          <w:b/>
          <w:sz w:val="24"/>
          <w:szCs w:val="24"/>
        </w:rPr>
        <w:t>а детей в период летних каникул</w:t>
      </w:r>
    </w:p>
    <w:p w:rsidR="007C1C5D" w:rsidRPr="00FF04AC" w:rsidRDefault="007C1C5D" w:rsidP="00FF04A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6D" w:rsidRDefault="008921F3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Р</w:t>
      </w:r>
      <w:r w:rsidRPr="008921F3">
        <w:rPr>
          <w:rFonts w:ascii="Times New Roman" w:hAnsi="Times New Roman" w:cs="Times New Roman"/>
          <w:b/>
          <w:color w:val="002060"/>
          <w:sz w:val="24"/>
          <w:szCs w:val="24"/>
        </w:rPr>
        <w:t>еализация ведомственной целевой программы «Адресная социальная помощь»</w:t>
      </w:r>
    </w:p>
    <w:p w:rsidR="00505688" w:rsidRDefault="00505688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8"/>
        <w:tblW w:w="9325" w:type="dxa"/>
        <w:tblLook w:val="04A0"/>
      </w:tblPr>
      <w:tblGrid>
        <w:gridCol w:w="5353"/>
        <w:gridCol w:w="1331"/>
        <w:gridCol w:w="1276"/>
        <w:gridCol w:w="1365"/>
      </w:tblGrid>
      <w:tr w:rsidR="009915D0" w:rsidRPr="009915D0" w:rsidTr="005556B5">
        <w:tc>
          <w:tcPr>
            <w:tcW w:w="5353" w:type="dxa"/>
          </w:tcPr>
          <w:p w:rsidR="009915D0" w:rsidRPr="009915D0" w:rsidRDefault="009915D0" w:rsidP="005516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1" w:type="dxa"/>
          </w:tcPr>
          <w:p w:rsidR="009915D0" w:rsidRPr="009915D0" w:rsidRDefault="009915D0" w:rsidP="005516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276" w:type="dxa"/>
          </w:tcPr>
          <w:p w:rsidR="009915D0" w:rsidRPr="009915D0" w:rsidRDefault="009915D0" w:rsidP="009915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365" w:type="dxa"/>
          </w:tcPr>
          <w:p w:rsidR="009915D0" w:rsidRPr="009915D0" w:rsidRDefault="009915D0" w:rsidP="005516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0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9915D0" w:rsidRPr="0028269F" w:rsidTr="00EC5687">
        <w:tc>
          <w:tcPr>
            <w:tcW w:w="5353" w:type="dxa"/>
          </w:tcPr>
          <w:p w:rsidR="009915D0" w:rsidRPr="0028269F" w:rsidRDefault="0028269F" w:rsidP="00282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69F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малоимущим гражданам, чел.</w:t>
            </w:r>
          </w:p>
        </w:tc>
        <w:tc>
          <w:tcPr>
            <w:tcW w:w="1331" w:type="dxa"/>
            <w:vAlign w:val="center"/>
          </w:tcPr>
          <w:p w:rsidR="009915D0" w:rsidRPr="00D319AF" w:rsidRDefault="00D319AF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276" w:type="dxa"/>
            <w:vAlign w:val="center"/>
          </w:tcPr>
          <w:p w:rsidR="009915D0" w:rsidRPr="0028269F" w:rsidRDefault="0028269F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65" w:type="dxa"/>
            <w:vAlign w:val="center"/>
          </w:tcPr>
          <w:p w:rsidR="009915D0" w:rsidRPr="0028269F" w:rsidRDefault="0028269F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8269F" w:rsidRPr="0028269F" w:rsidTr="00EC5687">
        <w:tc>
          <w:tcPr>
            <w:tcW w:w="5353" w:type="dxa"/>
          </w:tcPr>
          <w:p w:rsidR="0028269F" w:rsidRPr="0028269F" w:rsidRDefault="0028269F" w:rsidP="00282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E32A63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помощи, чел.:</w:t>
            </w:r>
          </w:p>
        </w:tc>
        <w:tc>
          <w:tcPr>
            <w:tcW w:w="1331" w:type="dxa"/>
            <w:vAlign w:val="center"/>
          </w:tcPr>
          <w:p w:rsidR="0028269F" w:rsidRPr="0028269F" w:rsidRDefault="0028269F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</w:t>
            </w:r>
          </w:p>
        </w:tc>
        <w:tc>
          <w:tcPr>
            <w:tcW w:w="1276" w:type="dxa"/>
            <w:vAlign w:val="center"/>
          </w:tcPr>
          <w:p w:rsidR="0028269F" w:rsidRPr="0028269F" w:rsidRDefault="0028269F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</w:t>
            </w:r>
          </w:p>
        </w:tc>
        <w:tc>
          <w:tcPr>
            <w:tcW w:w="1365" w:type="dxa"/>
            <w:vAlign w:val="center"/>
          </w:tcPr>
          <w:p w:rsidR="0028269F" w:rsidRPr="0028269F" w:rsidRDefault="0028269F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</w:t>
            </w:r>
          </w:p>
        </w:tc>
      </w:tr>
      <w:tr w:rsidR="0028269F" w:rsidRPr="0028269F" w:rsidTr="00EC5687">
        <w:tc>
          <w:tcPr>
            <w:tcW w:w="5353" w:type="dxa"/>
          </w:tcPr>
          <w:p w:rsidR="0028269F" w:rsidRDefault="0028269F" w:rsidP="00282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них гражданам, пострадавшим от пожара</w:t>
            </w:r>
          </w:p>
        </w:tc>
        <w:tc>
          <w:tcPr>
            <w:tcW w:w="1331" w:type="dxa"/>
            <w:vAlign w:val="center"/>
          </w:tcPr>
          <w:p w:rsidR="0028269F" w:rsidRDefault="0028269F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28269F" w:rsidRDefault="0028269F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5" w:type="dxa"/>
            <w:vAlign w:val="center"/>
          </w:tcPr>
          <w:p w:rsidR="0028269F" w:rsidRDefault="0028269F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269F" w:rsidRPr="0028269F" w:rsidTr="00EC5687">
        <w:tc>
          <w:tcPr>
            <w:tcW w:w="5353" w:type="dxa"/>
          </w:tcPr>
          <w:p w:rsidR="0028269F" w:rsidRDefault="005556B5" w:rsidP="003429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на основе социального контракта многодетным семьям, </w:t>
            </w:r>
            <w:r w:rsidR="003429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  <w:vAlign w:val="center"/>
          </w:tcPr>
          <w:p w:rsidR="0028269F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28269F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65" w:type="dxa"/>
            <w:vAlign w:val="center"/>
          </w:tcPr>
          <w:p w:rsidR="0028269F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56B5" w:rsidRPr="0028269F" w:rsidTr="00EC5687">
        <w:tc>
          <w:tcPr>
            <w:tcW w:w="5353" w:type="dxa"/>
          </w:tcPr>
          <w:p w:rsidR="005556B5" w:rsidRDefault="005556B5" w:rsidP="00555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основе социального контракта студентам, ежедневно пользующимся пригородным транспортом при проезде к месту учебы, чел.</w:t>
            </w:r>
          </w:p>
        </w:tc>
        <w:tc>
          <w:tcPr>
            <w:tcW w:w="1331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5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5556B5" w:rsidRPr="0028269F" w:rsidTr="00EC5687">
        <w:tc>
          <w:tcPr>
            <w:tcW w:w="5353" w:type="dxa"/>
          </w:tcPr>
          <w:p w:rsidR="005556B5" w:rsidRDefault="005556B5" w:rsidP="00555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детей, не являющихся инвалидами, протезно-ортопедическими изделиями, чел.</w:t>
            </w:r>
          </w:p>
        </w:tc>
        <w:tc>
          <w:tcPr>
            <w:tcW w:w="1331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5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556B5" w:rsidRPr="0028269F" w:rsidTr="00EC5687">
        <w:tc>
          <w:tcPr>
            <w:tcW w:w="5353" w:type="dxa"/>
          </w:tcPr>
          <w:p w:rsidR="005556B5" w:rsidRDefault="005556B5" w:rsidP="00555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беременным женщинам расходов по проезду на обследование в г. Петрозаводск, чел.</w:t>
            </w:r>
          </w:p>
        </w:tc>
        <w:tc>
          <w:tcPr>
            <w:tcW w:w="1331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5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56B5" w:rsidRPr="0028269F" w:rsidTr="00EC5687">
        <w:tc>
          <w:tcPr>
            <w:tcW w:w="5353" w:type="dxa"/>
          </w:tcPr>
          <w:p w:rsidR="005556B5" w:rsidRDefault="005556B5" w:rsidP="00555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детей в возрасте до 3-х лет специальными  молочными продуктами питания, чел.</w:t>
            </w:r>
          </w:p>
        </w:tc>
        <w:tc>
          <w:tcPr>
            <w:tcW w:w="1331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</w:p>
        </w:tc>
        <w:tc>
          <w:tcPr>
            <w:tcW w:w="1276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1365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</w:t>
            </w:r>
          </w:p>
        </w:tc>
      </w:tr>
      <w:tr w:rsidR="005556B5" w:rsidRPr="0028269F" w:rsidTr="00EC5687">
        <w:tc>
          <w:tcPr>
            <w:tcW w:w="5353" w:type="dxa"/>
          </w:tcPr>
          <w:p w:rsidR="005556B5" w:rsidRDefault="005556B5" w:rsidP="00555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питание </w:t>
            </w:r>
            <w:r w:rsidR="0000378F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размере 45 руб. в один учебный день, тыс. чел.</w:t>
            </w:r>
          </w:p>
        </w:tc>
        <w:tc>
          <w:tcPr>
            <w:tcW w:w="1331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65" w:type="dxa"/>
            <w:vAlign w:val="center"/>
          </w:tcPr>
          <w:p w:rsidR="005556B5" w:rsidRDefault="005556B5" w:rsidP="00EC5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</w:tbl>
    <w:p w:rsidR="007844B4" w:rsidRPr="008921F3" w:rsidRDefault="007844B4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F076D" w:rsidRPr="00D6226A" w:rsidRDefault="00D6226A" w:rsidP="00D6226A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6226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Организация различных видов отдыха и оздоровления детей на территории Республики Карелия и за её пределами</w:t>
      </w:r>
    </w:p>
    <w:p w:rsidR="00BF076D" w:rsidRDefault="00BF076D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F076D" w:rsidRPr="009F1C92" w:rsidRDefault="00826A3F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486400" cy="2428875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076D" w:rsidRPr="009F1C92" w:rsidRDefault="00BF076D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F076D" w:rsidRPr="00F3026A" w:rsidRDefault="00F3026A" w:rsidP="00F30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 – 101,1% от планового охвата, 2014 год – 110,7%, 2015 год – 124,1%.</w:t>
      </w:r>
    </w:p>
    <w:p w:rsidR="005D0E81" w:rsidRDefault="005D0E81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57DC" w:rsidRPr="009F1C92" w:rsidRDefault="00D357DC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ОБЯЗАТЕЛЬСТВА</w:t>
      </w:r>
    </w:p>
    <w:p w:rsidR="00241A78" w:rsidRPr="009F1C92" w:rsidRDefault="00241A78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области охраны труда</w:t>
      </w:r>
    </w:p>
    <w:p w:rsidR="00241A78" w:rsidRPr="00527226" w:rsidRDefault="00241A78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75554" w:rsidRPr="00527226" w:rsidRDefault="00527226" w:rsidP="00527226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27226">
        <w:rPr>
          <w:rFonts w:ascii="Times New Roman" w:eastAsia="Calibri" w:hAnsi="Times New Roman" w:cs="Times New Roman"/>
          <w:b/>
          <w:sz w:val="24"/>
          <w:szCs w:val="24"/>
        </w:rPr>
        <w:t xml:space="preserve">В Соглашении Правительство Республики Карелия приняло на себя обязательство </w:t>
      </w:r>
      <w:proofErr w:type="gramStart"/>
      <w:r w:rsidRPr="00527226">
        <w:rPr>
          <w:rFonts w:ascii="Times New Roman" w:eastAsia="Calibri" w:hAnsi="Times New Roman" w:cs="Times New Roman"/>
          <w:b/>
          <w:sz w:val="24"/>
          <w:szCs w:val="24"/>
        </w:rPr>
        <w:t>разрабатывать и осуществлять</w:t>
      </w:r>
      <w:proofErr w:type="gramEnd"/>
      <w:r w:rsidRPr="00527226">
        <w:rPr>
          <w:rFonts w:ascii="Times New Roman" w:eastAsia="Calibri" w:hAnsi="Times New Roman" w:cs="Times New Roman"/>
          <w:b/>
          <w:sz w:val="24"/>
          <w:szCs w:val="24"/>
        </w:rPr>
        <w:t xml:space="preserve"> меры по организации государственного управления охраной труда в пределах своей компетенции.</w:t>
      </w:r>
    </w:p>
    <w:p w:rsidR="00241A78" w:rsidRDefault="00241A78" w:rsidP="005516E4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16E4A" w:rsidRDefault="00F16E4A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16E4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Информация о </w:t>
      </w:r>
      <w:r w:rsidR="00564DF7">
        <w:rPr>
          <w:rFonts w:ascii="Times New Roman" w:hAnsi="Times New Roman" w:cs="Times New Roman"/>
          <w:b/>
          <w:color w:val="002060"/>
          <w:sz w:val="24"/>
          <w:szCs w:val="24"/>
        </w:rPr>
        <w:t>производственном травматизме с тяжелыми последствиями</w:t>
      </w:r>
      <w:r w:rsidRPr="00F16E4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 производстве в Республике Карелия </w:t>
      </w:r>
      <w:r w:rsidR="002B1BDF">
        <w:rPr>
          <w:rFonts w:ascii="Times New Roman" w:hAnsi="Times New Roman" w:cs="Times New Roman"/>
          <w:b/>
          <w:color w:val="002060"/>
          <w:sz w:val="24"/>
          <w:szCs w:val="24"/>
        </w:rPr>
        <w:t>(по оперативным данным)</w:t>
      </w:r>
    </w:p>
    <w:p w:rsidR="006D4A6F" w:rsidRPr="00F16E4A" w:rsidRDefault="006D4A6F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41A78" w:rsidRPr="009F1C92" w:rsidRDefault="005F6250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486400" cy="2905125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41A78" w:rsidRPr="009F1C92" w:rsidRDefault="00241A78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660C8" w:rsidRDefault="00096649" w:rsidP="005516E4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6649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Результаты специальной оценки условий труда (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 итогам 2014 г. и 2015 г.), аттестации рабочих мест </w:t>
      </w:r>
      <w:r w:rsidR="005660C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 условиям труда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(по итогам 2013 г.) </w:t>
      </w:r>
    </w:p>
    <w:p w:rsidR="00241A78" w:rsidRPr="00096649" w:rsidRDefault="00096649" w:rsidP="005516E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664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организациях Республики Карелия</w:t>
      </w:r>
      <w:r w:rsidR="00CF385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(количество рабочих мест)</w:t>
      </w:r>
    </w:p>
    <w:p w:rsidR="00241A78" w:rsidRDefault="00241A78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660C8" w:rsidRPr="005660C8" w:rsidRDefault="005660C8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57DC" w:rsidRPr="009F1C92" w:rsidRDefault="00D357DC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57DC" w:rsidRPr="009F1C92" w:rsidRDefault="00D357DC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57DC" w:rsidRPr="009F1C92" w:rsidRDefault="00D357DC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D3F86" w:rsidRPr="009F1C92" w:rsidRDefault="002D3F86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57DC" w:rsidRPr="009F1C92" w:rsidRDefault="00D357DC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ОБЯЗАТЕЛЬСТВА</w:t>
      </w:r>
    </w:p>
    <w:p w:rsidR="00241A78" w:rsidRPr="009F1C92" w:rsidRDefault="00241A78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C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области социального партнерства </w:t>
      </w:r>
    </w:p>
    <w:p w:rsidR="00C77187" w:rsidRDefault="00C77187" w:rsidP="00C7718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7DC" w:rsidRDefault="00C77187" w:rsidP="0012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87">
        <w:rPr>
          <w:rFonts w:ascii="Times New Roman" w:eastAsia="Calibri" w:hAnsi="Times New Roman" w:cs="Times New Roman"/>
          <w:b/>
          <w:sz w:val="24"/>
          <w:szCs w:val="24"/>
        </w:rPr>
        <w:t xml:space="preserve">Правительство Республики Карелия в Соглашении приняло на себя обязательство содействовать заключению территориальных, отраслевых соглашений, коллективных договоров на предприятиях и в организациях, разрешению возникающих коллективных трудовых споров. </w:t>
      </w:r>
    </w:p>
    <w:p w:rsidR="000B4BDA" w:rsidRDefault="000B4BDA" w:rsidP="00122BA9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66AC" w:rsidRPr="002B1BDF" w:rsidRDefault="003366AC" w:rsidP="003366AC">
      <w:pPr>
        <w:pStyle w:val="a3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366AC">
        <w:rPr>
          <w:rFonts w:ascii="Times New Roman" w:hAnsi="Times New Roman" w:cs="Times New Roman"/>
          <w:b/>
          <w:color w:val="002060"/>
          <w:sz w:val="24"/>
          <w:szCs w:val="24"/>
        </w:rPr>
        <w:t>Информация о  соглашениях, заключенных в Республике Карелия</w:t>
      </w:r>
    </w:p>
    <w:p w:rsidR="00147C11" w:rsidRPr="002B1BDF" w:rsidRDefault="00147C11" w:rsidP="003366AC">
      <w:pPr>
        <w:pStyle w:val="a3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D3F86" w:rsidRPr="00C77187" w:rsidRDefault="002D3F86" w:rsidP="005516E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3F8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781675" cy="3095625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75554" w:rsidRDefault="00275554" w:rsidP="009F1C92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019A9" w:rsidRDefault="000019A9" w:rsidP="009F1C92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019A9" w:rsidRDefault="009D32F0" w:rsidP="009F1C92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D32F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Заключение коллективных договоров в Республике Карелия,  по видам экономической деятельности</w:t>
      </w:r>
    </w:p>
    <w:p w:rsidR="009D32F0" w:rsidRDefault="009D32F0" w:rsidP="009F1C92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019A9" w:rsidRPr="00A545A6" w:rsidRDefault="000019A9" w:rsidP="00C23D41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19A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5760085" cy="3497051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0019A9" w:rsidRPr="00A545A6" w:rsidSect="00CF4006">
      <w:headerReference w:type="default" r:id="rId19"/>
      <w:footerReference w:type="default" r:id="rId20"/>
      <w:pgSz w:w="11906" w:h="16838" w:code="9"/>
      <w:pgMar w:top="-568" w:right="1134" w:bottom="567" w:left="1701" w:header="563" w:footer="42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C4" w:rsidRDefault="008900C4" w:rsidP="004D150E">
      <w:pPr>
        <w:spacing w:after="0" w:line="240" w:lineRule="auto"/>
      </w:pPr>
      <w:r>
        <w:separator/>
      </w:r>
    </w:p>
  </w:endnote>
  <w:endnote w:type="continuationSeparator" w:id="0">
    <w:p w:rsidR="008900C4" w:rsidRDefault="008900C4" w:rsidP="004D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556"/>
      <w:docPartObj>
        <w:docPartGallery w:val="Page Numbers (Bottom of Page)"/>
        <w:docPartUnique/>
      </w:docPartObj>
    </w:sdtPr>
    <w:sdtContent>
      <w:p w:rsidR="00E32A63" w:rsidRDefault="00C80F6F">
        <w:pPr>
          <w:pStyle w:val="ab"/>
          <w:jc w:val="center"/>
        </w:pPr>
        <w:fldSimple w:instr="PAGE   \* MERGEFORMAT">
          <w:r w:rsidR="00CF3857">
            <w:rPr>
              <w:noProof/>
            </w:rPr>
            <w:t>6</w:t>
          </w:r>
        </w:fldSimple>
      </w:p>
    </w:sdtContent>
  </w:sdt>
  <w:p w:rsidR="00E32A63" w:rsidRDefault="00E32A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C4" w:rsidRDefault="008900C4" w:rsidP="004D150E">
      <w:pPr>
        <w:spacing w:after="0" w:line="240" w:lineRule="auto"/>
      </w:pPr>
      <w:r>
        <w:separator/>
      </w:r>
    </w:p>
  </w:footnote>
  <w:footnote w:type="continuationSeparator" w:id="0">
    <w:p w:rsidR="008900C4" w:rsidRDefault="008900C4" w:rsidP="004D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63" w:rsidRDefault="00E32A63">
    <w:pPr>
      <w:pStyle w:val="a9"/>
      <w:rPr>
        <w:lang w:val="en-US"/>
      </w:rPr>
    </w:pPr>
  </w:p>
  <w:p w:rsidR="00E32A63" w:rsidRPr="000C2BA2" w:rsidRDefault="00E32A63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3E1"/>
    <w:multiLevelType w:val="multilevel"/>
    <w:tmpl w:val="BF58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7D69BA"/>
    <w:multiLevelType w:val="multilevel"/>
    <w:tmpl w:val="BF58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2D1290"/>
    <w:multiLevelType w:val="hybridMultilevel"/>
    <w:tmpl w:val="BA58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6E4"/>
    <w:rsid w:val="00000459"/>
    <w:rsid w:val="000019A9"/>
    <w:rsid w:val="0000378F"/>
    <w:rsid w:val="0001165D"/>
    <w:rsid w:val="0001536B"/>
    <w:rsid w:val="00027B1A"/>
    <w:rsid w:val="000338D8"/>
    <w:rsid w:val="00036EAF"/>
    <w:rsid w:val="000443FE"/>
    <w:rsid w:val="000528BC"/>
    <w:rsid w:val="0006185D"/>
    <w:rsid w:val="00080F46"/>
    <w:rsid w:val="00085E4F"/>
    <w:rsid w:val="0009361C"/>
    <w:rsid w:val="000959E9"/>
    <w:rsid w:val="00096649"/>
    <w:rsid w:val="000B3179"/>
    <w:rsid w:val="000B4264"/>
    <w:rsid w:val="000B4647"/>
    <w:rsid w:val="000B4BDA"/>
    <w:rsid w:val="000B7C29"/>
    <w:rsid w:val="000C2BA2"/>
    <w:rsid w:val="000D4770"/>
    <w:rsid w:val="000E195A"/>
    <w:rsid w:val="000F34C0"/>
    <w:rsid w:val="00103CB3"/>
    <w:rsid w:val="00122BA9"/>
    <w:rsid w:val="00124974"/>
    <w:rsid w:val="001257C0"/>
    <w:rsid w:val="00132AC9"/>
    <w:rsid w:val="0013444A"/>
    <w:rsid w:val="00147C11"/>
    <w:rsid w:val="0015285F"/>
    <w:rsid w:val="001A1384"/>
    <w:rsid w:val="001A5A50"/>
    <w:rsid w:val="001B17B9"/>
    <w:rsid w:val="001C7661"/>
    <w:rsid w:val="001D382E"/>
    <w:rsid w:val="001D3BBC"/>
    <w:rsid w:val="001D4D92"/>
    <w:rsid w:val="001F68DB"/>
    <w:rsid w:val="00205FCC"/>
    <w:rsid w:val="002073B1"/>
    <w:rsid w:val="00210E29"/>
    <w:rsid w:val="002358BC"/>
    <w:rsid w:val="00241A78"/>
    <w:rsid w:val="00247776"/>
    <w:rsid w:val="0027266C"/>
    <w:rsid w:val="00275554"/>
    <w:rsid w:val="0028269F"/>
    <w:rsid w:val="00283189"/>
    <w:rsid w:val="002959EB"/>
    <w:rsid w:val="00296392"/>
    <w:rsid w:val="002A3094"/>
    <w:rsid w:val="002A797B"/>
    <w:rsid w:val="002B1BDF"/>
    <w:rsid w:val="002B1C1C"/>
    <w:rsid w:val="002C2186"/>
    <w:rsid w:val="002C2E28"/>
    <w:rsid w:val="002D3F86"/>
    <w:rsid w:val="002E4181"/>
    <w:rsid w:val="00333ACA"/>
    <w:rsid w:val="003366AC"/>
    <w:rsid w:val="00341595"/>
    <w:rsid w:val="00342947"/>
    <w:rsid w:val="00342973"/>
    <w:rsid w:val="003479A4"/>
    <w:rsid w:val="0036247F"/>
    <w:rsid w:val="0037783E"/>
    <w:rsid w:val="003A0A29"/>
    <w:rsid w:val="003B572E"/>
    <w:rsid w:val="003E4893"/>
    <w:rsid w:val="003F2B16"/>
    <w:rsid w:val="003F2D82"/>
    <w:rsid w:val="0040012B"/>
    <w:rsid w:val="00433DFB"/>
    <w:rsid w:val="00435981"/>
    <w:rsid w:val="00447A0A"/>
    <w:rsid w:val="00450AFA"/>
    <w:rsid w:val="00453995"/>
    <w:rsid w:val="00466D92"/>
    <w:rsid w:val="00477597"/>
    <w:rsid w:val="00496DBD"/>
    <w:rsid w:val="004C097D"/>
    <w:rsid w:val="004C68E1"/>
    <w:rsid w:val="004C73C6"/>
    <w:rsid w:val="004D150E"/>
    <w:rsid w:val="004D2A44"/>
    <w:rsid w:val="004D62FA"/>
    <w:rsid w:val="004E0883"/>
    <w:rsid w:val="004E1195"/>
    <w:rsid w:val="00505688"/>
    <w:rsid w:val="0051671A"/>
    <w:rsid w:val="00522D39"/>
    <w:rsid w:val="00524A17"/>
    <w:rsid w:val="00527226"/>
    <w:rsid w:val="00527653"/>
    <w:rsid w:val="00530CDB"/>
    <w:rsid w:val="005324D2"/>
    <w:rsid w:val="00546A2F"/>
    <w:rsid w:val="005516E4"/>
    <w:rsid w:val="005556B5"/>
    <w:rsid w:val="00564DF7"/>
    <w:rsid w:val="005660C8"/>
    <w:rsid w:val="00584436"/>
    <w:rsid w:val="0059028A"/>
    <w:rsid w:val="00592BFE"/>
    <w:rsid w:val="005A3B0C"/>
    <w:rsid w:val="005C30B7"/>
    <w:rsid w:val="005D0E81"/>
    <w:rsid w:val="005E42C7"/>
    <w:rsid w:val="005E7E1C"/>
    <w:rsid w:val="005F6250"/>
    <w:rsid w:val="006017FD"/>
    <w:rsid w:val="00611C70"/>
    <w:rsid w:val="00611D24"/>
    <w:rsid w:val="00644CF0"/>
    <w:rsid w:val="00645CF1"/>
    <w:rsid w:val="00654822"/>
    <w:rsid w:val="00660D15"/>
    <w:rsid w:val="0068102D"/>
    <w:rsid w:val="00684388"/>
    <w:rsid w:val="00695869"/>
    <w:rsid w:val="006B273F"/>
    <w:rsid w:val="006C2C99"/>
    <w:rsid w:val="006C3D66"/>
    <w:rsid w:val="006D0377"/>
    <w:rsid w:val="006D19C4"/>
    <w:rsid w:val="006D4A6F"/>
    <w:rsid w:val="006F385E"/>
    <w:rsid w:val="006F40CD"/>
    <w:rsid w:val="00703DF1"/>
    <w:rsid w:val="00740FD0"/>
    <w:rsid w:val="007844B4"/>
    <w:rsid w:val="007A106A"/>
    <w:rsid w:val="007A6584"/>
    <w:rsid w:val="007B777A"/>
    <w:rsid w:val="007C178E"/>
    <w:rsid w:val="007C1C5D"/>
    <w:rsid w:val="007C498F"/>
    <w:rsid w:val="007D6ECD"/>
    <w:rsid w:val="007D729A"/>
    <w:rsid w:val="00826A3F"/>
    <w:rsid w:val="00845A24"/>
    <w:rsid w:val="00846918"/>
    <w:rsid w:val="00855766"/>
    <w:rsid w:val="0085629D"/>
    <w:rsid w:val="00865602"/>
    <w:rsid w:val="0087225A"/>
    <w:rsid w:val="008900C4"/>
    <w:rsid w:val="00890D12"/>
    <w:rsid w:val="008921F3"/>
    <w:rsid w:val="00897C75"/>
    <w:rsid w:val="008A1690"/>
    <w:rsid w:val="008A3EC9"/>
    <w:rsid w:val="008A529A"/>
    <w:rsid w:val="008C122C"/>
    <w:rsid w:val="008C7C6A"/>
    <w:rsid w:val="0090215E"/>
    <w:rsid w:val="00936E48"/>
    <w:rsid w:val="009374F5"/>
    <w:rsid w:val="00955DE8"/>
    <w:rsid w:val="0096085B"/>
    <w:rsid w:val="0097091E"/>
    <w:rsid w:val="00983167"/>
    <w:rsid w:val="009915D0"/>
    <w:rsid w:val="009952C8"/>
    <w:rsid w:val="00995389"/>
    <w:rsid w:val="009956F2"/>
    <w:rsid w:val="009A789D"/>
    <w:rsid w:val="009C02D3"/>
    <w:rsid w:val="009D32F0"/>
    <w:rsid w:val="009D3740"/>
    <w:rsid w:val="009E045D"/>
    <w:rsid w:val="009E38A7"/>
    <w:rsid w:val="009E4033"/>
    <w:rsid w:val="009F1C92"/>
    <w:rsid w:val="009F733E"/>
    <w:rsid w:val="00A0643F"/>
    <w:rsid w:val="00A5091B"/>
    <w:rsid w:val="00A545A6"/>
    <w:rsid w:val="00A71D5E"/>
    <w:rsid w:val="00A818E2"/>
    <w:rsid w:val="00A82DA9"/>
    <w:rsid w:val="00AC4A47"/>
    <w:rsid w:val="00AC63D8"/>
    <w:rsid w:val="00AC6894"/>
    <w:rsid w:val="00AD28E5"/>
    <w:rsid w:val="00AF7418"/>
    <w:rsid w:val="00B05F33"/>
    <w:rsid w:val="00B1505B"/>
    <w:rsid w:val="00B33333"/>
    <w:rsid w:val="00B55664"/>
    <w:rsid w:val="00B761FB"/>
    <w:rsid w:val="00B8390B"/>
    <w:rsid w:val="00B977F4"/>
    <w:rsid w:val="00BD211C"/>
    <w:rsid w:val="00BF076D"/>
    <w:rsid w:val="00BF1FEA"/>
    <w:rsid w:val="00C02277"/>
    <w:rsid w:val="00C07D00"/>
    <w:rsid w:val="00C1157F"/>
    <w:rsid w:val="00C15B66"/>
    <w:rsid w:val="00C23D41"/>
    <w:rsid w:val="00C3462A"/>
    <w:rsid w:val="00C357AE"/>
    <w:rsid w:val="00C42CD5"/>
    <w:rsid w:val="00C53DD4"/>
    <w:rsid w:val="00C57D11"/>
    <w:rsid w:val="00C75493"/>
    <w:rsid w:val="00C77187"/>
    <w:rsid w:val="00C80F6F"/>
    <w:rsid w:val="00C85637"/>
    <w:rsid w:val="00C86DE8"/>
    <w:rsid w:val="00C94E92"/>
    <w:rsid w:val="00CA3603"/>
    <w:rsid w:val="00CA6C0D"/>
    <w:rsid w:val="00CC30F3"/>
    <w:rsid w:val="00CE280E"/>
    <w:rsid w:val="00CE5EDC"/>
    <w:rsid w:val="00CE7050"/>
    <w:rsid w:val="00CF3857"/>
    <w:rsid w:val="00CF4006"/>
    <w:rsid w:val="00D05954"/>
    <w:rsid w:val="00D1384C"/>
    <w:rsid w:val="00D15F1E"/>
    <w:rsid w:val="00D20642"/>
    <w:rsid w:val="00D319AF"/>
    <w:rsid w:val="00D34423"/>
    <w:rsid w:val="00D357DC"/>
    <w:rsid w:val="00D46356"/>
    <w:rsid w:val="00D465D2"/>
    <w:rsid w:val="00D512BD"/>
    <w:rsid w:val="00D6226A"/>
    <w:rsid w:val="00D757CF"/>
    <w:rsid w:val="00D77E55"/>
    <w:rsid w:val="00D93330"/>
    <w:rsid w:val="00D940A6"/>
    <w:rsid w:val="00DA6CBF"/>
    <w:rsid w:val="00DC777E"/>
    <w:rsid w:val="00DC7A8B"/>
    <w:rsid w:val="00DD679B"/>
    <w:rsid w:val="00DE4BC3"/>
    <w:rsid w:val="00DF1117"/>
    <w:rsid w:val="00E166B2"/>
    <w:rsid w:val="00E26CF3"/>
    <w:rsid w:val="00E32A63"/>
    <w:rsid w:val="00E359DA"/>
    <w:rsid w:val="00E7697B"/>
    <w:rsid w:val="00E92AFD"/>
    <w:rsid w:val="00E95F17"/>
    <w:rsid w:val="00EB673D"/>
    <w:rsid w:val="00EC5687"/>
    <w:rsid w:val="00EC733E"/>
    <w:rsid w:val="00F16E4A"/>
    <w:rsid w:val="00F17976"/>
    <w:rsid w:val="00F24478"/>
    <w:rsid w:val="00F3026A"/>
    <w:rsid w:val="00F30C5D"/>
    <w:rsid w:val="00F34C1E"/>
    <w:rsid w:val="00F363A1"/>
    <w:rsid w:val="00F4213E"/>
    <w:rsid w:val="00F5766F"/>
    <w:rsid w:val="00F830B3"/>
    <w:rsid w:val="00FA6956"/>
    <w:rsid w:val="00FB0188"/>
    <w:rsid w:val="00FB2413"/>
    <w:rsid w:val="00FC1133"/>
    <w:rsid w:val="00FC1A9C"/>
    <w:rsid w:val="00FC4AB3"/>
    <w:rsid w:val="00FF04AC"/>
    <w:rsid w:val="00FF1CB5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16E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5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A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D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50E"/>
  </w:style>
  <w:style w:type="paragraph" w:styleId="ab">
    <w:name w:val="footer"/>
    <w:basedOn w:val="a"/>
    <w:link w:val="ac"/>
    <w:uiPriority w:val="99"/>
    <w:unhideWhenUsed/>
    <w:rsid w:val="004D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50E"/>
  </w:style>
  <w:style w:type="character" w:customStyle="1" w:styleId="a4">
    <w:name w:val="Без интервала Знак"/>
    <w:basedOn w:val="a0"/>
    <w:link w:val="a3"/>
    <w:uiPriority w:val="1"/>
    <w:rsid w:val="004D150E"/>
  </w:style>
  <w:style w:type="paragraph" w:styleId="ad">
    <w:name w:val="Title"/>
    <w:basedOn w:val="a"/>
    <w:link w:val="ae"/>
    <w:qFormat/>
    <w:rsid w:val="00F16E4A"/>
    <w:pPr>
      <w:tabs>
        <w:tab w:val="center" w:pos="297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hadow/>
      <w:snapToGrid w:val="0"/>
      <w:sz w:val="25"/>
      <w:szCs w:val="20"/>
      <w:lang w:eastAsia="ru-RU"/>
    </w:rPr>
  </w:style>
  <w:style w:type="character" w:customStyle="1" w:styleId="ae">
    <w:name w:val="Название Знак"/>
    <w:basedOn w:val="a0"/>
    <w:link w:val="ad"/>
    <w:rsid w:val="00F16E4A"/>
    <w:rPr>
      <w:rFonts w:ascii="Times New Roman" w:eastAsia="Times New Roman" w:hAnsi="Times New Roman" w:cs="Times New Roman"/>
      <w:b/>
      <w:smallCaps/>
      <w:shadow/>
      <w:snapToGrid w:val="0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4718119834212218E-2"/>
          <c:y val="0.12036060932270996"/>
          <c:w val="0.93528183716075164"/>
          <c:h val="0.75762711864407184"/>
        </c:manualLayout>
      </c:layout>
      <c:bar3DChart>
        <c:barDir val="col"/>
        <c:grouping val="clustered"/>
        <c:ser>
          <c:idx val="2"/>
          <c:order val="0"/>
          <c:tx>
            <c:strRef>
              <c:f>Sheet1!$B$1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0762402810964744E-3"/>
                  <c:y val="-1.5844794002318266E-2"/>
                </c:manualLayout>
              </c:layout>
              <c:showVal val="1"/>
            </c:dLbl>
            <c:dLbl>
              <c:idx val="1"/>
              <c:layout>
                <c:manualLayout>
                  <c:x val="-8.9505478481856932E-3"/>
                  <c:y val="-7.5326363253750599E-3"/>
                </c:manualLayout>
              </c:layout>
              <c:showVal val="1"/>
            </c:dLbl>
            <c:dLbl>
              <c:idx val="2"/>
              <c:layout>
                <c:manualLayout>
                  <c:x val="-1.3217395444617137E-3"/>
                  <c:y val="-2.274623484063319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РК</c:v>
                </c:pt>
                <c:pt idx="1">
                  <c:v>РФ</c:v>
                </c:pt>
                <c:pt idx="2">
                  <c:v>СЗФО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94.5</c:v>
                </c:pt>
                <c:pt idx="1">
                  <c:v>100.4</c:v>
                </c:pt>
                <c:pt idx="2">
                  <c:v>99.8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5984435436463459E-4"/>
                  <c:y val="-2.8196492514074602E-2"/>
                </c:manualLayout>
              </c:layout>
              <c:showVal val="1"/>
            </c:dLbl>
            <c:dLbl>
              <c:idx val="1"/>
              <c:layout>
                <c:manualLayout>
                  <c:x val="1.1758054052767294E-2"/>
                  <c:y val="-3.9076912522967612E-2"/>
                </c:manualLayout>
              </c:layout>
              <c:showVal val="1"/>
            </c:dLbl>
            <c:dLbl>
              <c:idx val="2"/>
              <c:layout>
                <c:manualLayout>
                  <c:x val="1.7083102707399704E-2"/>
                  <c:y val="-2.72831522212727E-2"/>
                </c:manualLayout>
              </c:layout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РК</c:v>
                </c:pt>
                <c:pt idx="1">
                  <c:v>РФ</c:v>
                </c:pt>
                <c:pt idx="2">
                  <c:v>СЗФО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101.7</c:v>
                </c:pt>
                <c:pt idx="1">
                  <c:v>101.7</c:v>
                </c:pt>
                <c:pt idx="2">
                  <c:v>97.9</c:v>
                </c:pt>
              </c:numCache>
            </c:numRef>
          </c:val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74046101380186E-2"/>
                  <c:y val="-1.2536310850078298E-2"/>
                </c:manualLayout>
              </c:layout>
              <c:showVal val="1"/>
            </c:dLbl>
            <c:dLbl>
              <c:idx val="1"/>
              <c:layout>
                <c:manualLayout>
                  <c:x val="2.1834184326189211E-2"/>
                  <c:y val="-2.2766603537910511E-2"/>
                </c:manualLayout>
              </c:layout>
              <c:showVal val="1"/>
            </c:dLbl>
            <c:dLbl>
              <c:idx val="2"/>
              <c:layout>
                <c:manualLayout>
                  <c:x val="1.7005731426428885E-2"/>
                  <c:y val="-1.08616249469272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РК</c:v>
                </c:pt>
                <c:pt idx="1">
                  <c:v>РФ</c:v>
                </c:pt>
                <c:pt idx="2">
                  <c:v>СЗФО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99.2</c:v>
                </c:pt>
                <c:pt idx="1">
                  <c:v>96.6</c:v>
                </c:pt>
                <c:pt idx="2">
                  <c:v>96</c:v>
                </c:pt>
              </c:numCache>
            </c:numRef>
          </c:val>
        </c:ser>
        <c:gapWidth val="100"/>
        <c:gapDepth val="100"/>
        <c:shape val="cylinder"/>
        <c:axId val="124656256"/>
        <c:axId val="125392768"/>
        <c:axId val="0"/>
      </c:bar3DChart>
      <c:catAx>
        <c:axId val="124656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  <c:crossAx val="125392768"/>
        <c:crosses val="autoZero"/>
        <c:auto val="1"/>
        <c:lblAlgn val="ctr"/>
        <c:lblOffset val="100"/>
        <c:tickLblSkip val="1"/>
        <c:tickMarkSkip val="1"/>
      </c:catAx>
      <c:valAx>
        <c:axId val="125392768"/>
        <c:scaling>
          <c:orientation val="minMax"/>
          <c:max val="110"/>
          <c:min val="80"/>
        </c:scaling>
        <c:axPos val="l"/>
        <c:majorGridlines>
          <c:spPr>
            <a:ln w="12700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4656256"/>
        <c:crosses val="autoZero"/>
        <c:crossBetween val="between"/>
        <c:majorUnit val="15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2.2964509394571987E-2"/>
          <c:y val="0"/>
          <c:w val="0.97703549060542971"/>
          <c:h val="7.7966101694915538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3366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1099298013831396"/>
          <c:y val="3.9947944711129606E-2"/>
          <c:w val="0.47136839126506136"/>
          <c:h val="0.9201041105777411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Рыболовство и рыбоводство</c:v>
                </c:pt>
                <c:pt idx="1">
                  <c:v>Гостиницы и рестораны</c:v>
                </c:pt>
                <c:pt idx="2">
                  <c:v>Добыча полезных ископаемых</c:v>
                </c:pt>
                <c:pt idx="3">
                  <c:v>Производство и распределение э/э, пара и воды</c:v>
                </c:pt>
                <c:pt idx="4">
                  <c:v>Обрабатывающие производства</c:v>
                </c:pt>
                <c:pt idx="5">
                  <c:v>Строительство</c:v>
                </c:pt>
                <c:pt idx="6">
                  <c:v>Транспорт и связь</c:v>
                </c:pt>
                <c:pt idx="7">
                  <c:v>Сельское хозяйство, охота и лесное хозяйство</c:v>
                </c:pt>
                <c:pt idx="8">
                  <c:v>Оптовая и розничная торговля</c:v>
                </c:pt>
                <c:pt idx="9">
                  <c:v>Государственное управление</c:v>
                </c:pt>
                <c:pt idx="10">
                  <c:v>Предоставление прочих ком-х и соц-х услуг</c:v>
                </c:pt>
                <c:pt idx="11">
                  <c:v>Здравоохранение и предоставление соц-х услуг</c:v>
                </c:pt>
                <c:pt idx="12">
                  <c:v>Прочие виды экономической деятельности</c:v>
                </c:pt>
                <c:pt idx="13">
                  <c:v>Образование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23</c:v>
                </c:pt>
                <c:pt idx="4">
                  <c:v>30</c:v>
                </c:pt>
                <c:pt idx="5">
                  <c:v>37</c:v>
                </c:pt>
                <c:pt idx="6">
                  <c:v>44</c:v>
                </c:pt>
                <c:pt idx="7">
                  <c:v>57</c:v>
                </c:pt>
                <c:pt idx="8">
                  <c:v>54</c:v>
                </c:pt>
                <c:pt idx="9">
                  <c:v>90</c:v>
                </c:pt>
                <c:pt idx="10">
                  <c:v>88</c:v>
                </c:pt>
                <c:pt idx="11">
                  <c:v>138</c:v>
                </c:pt>
                <c:pt idx="12">
                  <c:v>170</c:v>
                </c:pt>
                <c:pt idx="13">
                  <c:v>512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Рыболовство и рыбоводство</c:v>
                </c:pt>
                <c:pt idx="1">
                  <c:v>Гостиницы и рестораны</c:v>
                </c:pt>
                <c:pt idx="2">
                  <c:v>Добыча полезных ископаемых</c:v>
                </c:pt>
                <c:pt idx="3">
                  <c:v>Производство и распределение э/э, пара и воды</c:v>
                </c:pt>
                <c:pt idx="4">
                  <c:v>Обрабатывающие производства</c:v>
                </c:pt>
                <c:pt idx="5">
                  <c:v>Строительство</c:v>
                </c:pt>
                <c:pt idx="6">
                  <c:v>Транспорт и связь</c:v>
                </c:pt>
                <c:pt idx="7">
                  <c:v>Сельское хозяйство, охота и лесное хозяйство</c:v>
                </c:pt>
                <c:pt idx="8">
                  <c:v>Оптовая и розничная торговля</c:v>
                </c:pt>
                <c:pt idx="9">
                  <c:v>Государственное управление</c:v>
                </c:pt>
                <c:pt idx="10">
                  <c:v>Предоставление прочих ком-х и соц-х услуг</c:v>
                </c:pt>
                <c:pt idx="11">
                  <c:v>Здравоохранение и предоставление соц-х услуг</c:v>
                </c:pt>
                <c:pt idx="12">
                  <c:v>Прочие виды экономической деятельности</c:v>
                </c:pt>
                <c:pt idx="13">
                  <c:v>Образование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</c:v>
                </c:pt>
                <c:pt idx="1">
                  <c:v>10</c:v>
                </c:pt>
                <c:pt idx="2">
                  <c:v>10</c:v>
                </c:pt>
                <c:pt idx="3">
                  <c:v>24</c:v>
                </c:pt>
                <c:pt idx="4">
                  <c:v>28</c:v>
                </c:pt>
                <c:pt idx="5">
                  <c:v>36</c:v>
                </c:pt>
                <c:pt idx="6">
                  <c:v>42</c:v>
                </c:pt>
                <c:pt idx="7">
                  <c:v>57</c:v>
                </c:pt>
                <c:pt idx="8">
                  <c:v>59</c:v>
                </c:pt>
                <c:pt idx="9">
                  <c:v>93</c:v>
                </c:pt>
                <c:pt idx="10">
                  <c:v>92</c:v>
                </c:pt>
                <c:pt idx="11">
                  <c:v>131</c:v>
                </c:pt>
                <c:pt idx="12">
                  <c:v>170</c:v>
                </c:pt>
                <c:pt idx="13">
                  <c:v>499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Рыболовство и рыбоводство</c:v>
                </c:pt>
                <c:pt idx="1">
                  <c:v>Гостиницы и рестораны</c:v>
                </c:pt>
                <c:pt idx="2">
                  <c:v>Добыча полезных ископаемых</c:v>
                </c:pt>
                <c:pt idx="3">
                  <c:v>Производство и распределение э/э, пара и воды</c:v>
                </c:pt>
                <c:pt idx="4">
                  <c:v>Обрабатывающие производства</c:v>
                </c:pt>
                <c:pt idx="5">
                  <c:v>Строительство</c:v>
                </c:pt>
                <c:pt idx="6">
                  <c:v>Транспорт и связь</c:v>
                </c:pt>
                <c:pt idx="7">
                  <c:v>Сельское хозяйство, охота и лесное хозяйство</c:v>
                </c:pt>
                <c:pt idx="8">
                  <c:v>Оптовая и розничная торговля</c:v>
                </c:pt>
                <c:pt idx="9">
                  <c:v>Государственное управление</c:v>
                </c:pt>
                <c:pt idx="10">
                  <c:v>Предоставление прочих ком-х и соц-х услуг</c:v>
                </c:pt>
                <c:pt idx="11">
                  <c:v>Здравоохранение и предоставление соц-х услуг</c:v>
                </c:pt>
                <c:pt idx="12">
                  <c:v>Прочие виды экономической деятельности</c:v>
                </c:pt>
                <c:pt idx="13">
                  <c:v>Образование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21</c:v>
                </c:pt>
                <c:pt idx="4">
                  <c:v>27</c:v>
                </c:pt>
                <c:pt idx="5">
                  <c:v>30</c:v>
                </c:pt>
                <c:pt idx="6">
                  <c:v>47</c:v>
                </c:pt>
                <c:pt idx="7">
                  <c:v>51</c:v>
                </c:pt>
                <c:pt idx="8">
                  <c:v>57</c:v>
                </c:pt>
                <c:pt idx="9">
                  <c:v>87</c:v>
                </c:pt>
                <c:pt idx="10">
                  <c:v>99</c:v>
                </c:pt>
                <c:pt idx="11">
                  <c:v>104</c:v>
                </c:pt>
                <c:pt idx="12">
                  <c:v>184</c:v>
                </c:pt>
                <c:pt idx="13">
                  <c:v>479</c:v>
                </c:pt>
              </c:numCache>
            </c:numRef>
          </c:val>
        </c:ser>
        <c:axId val="50686592"/>
        <c:axId val="50696576"/>
      </c:barChart>
      <c:catAx>
        <c:axId val="50686592"/>
        <c:scaling>
          <c:orientation val="minMax"/>
        </c:scaling>
        <c:axPos val="l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50696576"/>
        <c:crosses val="autoZero"/>
        <c:auto val="1"/>
        <c:lblAlgn val="ctr"/>
        <c:lblOffset val="100"/>
      </c:catAx>
      <c:valAx>
        <c:axId val="5069657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5068659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 к 2014 г.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Производство и распределение электроэнергии, газа и воды</c:v>
                </c:pt>
                <c:pt idx="2">
                  <c:v>Добыча полезных ископаемых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98.5</c:v>
                </c:pt>
                <c:pt idx="1">
                  <c:v>101.3</c:v>
                </c:pt>
                <c:pt idx="2">
                  <c:v>99.2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г. к 2013 г.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Производство и распределение электроэнергии, газа и воды</c:v>
                </c:pt>
                <c:pt idx="2">
                  <c:v>Добыча полезных ископаемых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103.2</c:v>
                </c:pt>
                <c:pt idx="1">
                  <c:v>104.2</c:v>
                </c:pt>
                <c:pt idx="2">
                  <c:v>100.3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г. к 2012 г.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Производство и распределение электроэнергии, газа и воды</c:v>
                </c:pt>
                <c:pt idx="2">
                  <c:v>Добыча полезных ископаемых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86.3</c:v>
                </c:pt>
                <c:pt idx="1">
                  <c:v>89</c:v>
                </c:pt>
                <c:pt idx="2">
                  <c:v>101.7</c:v>
                </c:pt>
              </c:numCache>
            </c:numRef>
          </c:val>
        </c:ser>
        <c:axId val="138242688"/>
        <c:axId val="47645824"/>
      </c:barChart>
      <c:catAx>
        <c:axId val="138242688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645824"/>
        <c:crosses val="autoZero"/>
        <c:auto val="1"/>
        <c:lblAlgn val="ctr"/>
        <c:lblOffset val="100"/>
      </c:catAx>
      <c:valAx>
        <c:axId val="47645824"/>
        <c:scaling>
          <c:orientation val="minMax"/>
        </c:scaling>
        <c:axPos val="b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8242688"/>
        <c:crosses val="autoZero"/>
        <c:crossBetween val="between"/>
      </c:valAx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6.6432414698162731E-2"/>
          <c:y val="2.6195857795898746E-2"/>
          <c:w val="0.91776286374684657"/>
          <c:h val="0.71708937559298713"/>
        </c:manualLayout>
      </c:layout>
      <c:lineChart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РФ</c:v>
                </c:pt>
              </c:strCache>
            </c:strRef>
          </c:tx>
          <c:spPr>
            <a:ln w="31764">
              <a:solidFill>
                <a:srgbClr val="0000FF"/>
              </a:solidFill>
            </a:ln>
          </c:spPr>
          <c:marker>
            <c:symbol val="diamond"/>
            <c:size val="3"/>
            <c:spPr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layout>
                <c:manualLayout>
                  <c:x val="-1.1887072808320961E-2"/>
                  <c:y val="-4.0816326530612429E-2"/>
                </c:manualLayout>
              </c:layout>
              <c:showVal val="1"/>
            </c:dLbl>
            <c:dLbl>
              <c:idx val="1"/>
              <c:layout>
                <c:manualLayout>
                  <c:x val="-3.5253126791543382E-2"/>
                  <c:y val="4.512935883014623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755324418028802E-2"/>
                  <c:y val="4.0816326530612429E-2"/>
                </c:manualLayout>
              </c:layout>
              <c:showVal val="1"/>
            </c:dLbl>
            <c:dLbl>
              <c:idx val="4"/>
              <c:layout>
                <c:manualLayout>
                  <c:x val="-2.5755324418028802E-2"/>
                  <c:y val="4.4217687074830161E-2"/>
                </c:manualLayout>
              </c:layout>
              <c:showVal val="1"/>
            </c:dLbl>
            <c:dLbl>
              <c:idx val="5"/>
              <c:layout>
                <c:manualLayout>
                  <c:x val="-3.0452902153946956E-2"/>
                  <c:y val="4.524479082971773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971768202080231E-2"/>
                  <c:y val="-3.4013605442176985E-2"/>
                </c:manualLayout>
              </c:layout>
              <c:showVal val="1"/>
            </c:dLbl>
            <c:dLbl>
              <c:idx val="7"/>
              <c:layout>
                <c:manualLayout>
                  <c:x val="-2.9717682020802376E-2"/>
                  <c:y val="3.4013605442176985E-2"/>
                </c:manualLayout>
              </c:layout>
              <c:showVal val="1"/>
            </c:dLbl>
            <c:dLbl>
              <c:idx val="8"/>
              <c:layout>
                <c:manualLayout>
                  <c:x val="-3.7147102526003062E-2"/>
                  <c:y val="-3.996598639455779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7622273441674327E-2"/>
                  <c:y val="5.877336761476244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9717682020802376E-2"/>
                  <c:y val="4.0816326530612429E-2"/>
                </c:manualLayout>
              </c:layout>
              <c:showVal val="1"/>
            </c:dLbl>
            <c:dLbl>
              <c:idx val="12"/>
              <c:layout>
                <c:manualLayout>
                  <c:x val="-1.1887072808320961E-2"/>
                  <c:y val="-4.4217687074830245E-2"/>
                </c:manualLayout>
              </c:layout>
              <c:showVal val="1"/>
            </c:dLbl>
            <c:dLbl>
              <c:idx val="14"/>
              <c:showVal val="1"/>
            </c:dLbl>
            <c:dLbl>
              <c:idx val="15"/>
              <c:showVal val="1"/>
            </c:dLbl>
            <c:dLbl>
              <c:idx val="17"/>
              <c:showVal val="1"/>
            </c:dLbl>
            <c:dLbl>
              <c:idx val="19"/>
              <c:showVal val="1"/>
            </c:dLbl>
            <c:dLbl>
              <c:idx val="22"/>
              <c:showVal val="1"/>
            </c:dLbl>
            <c:dLbl>
              <c:idx val="23"/>
              <c:layout>
                <c:manualLayout>
                  <c:x val="-3.5069444444444445E-2"/>
                  <c:y val="2.9282080271339741E-2"/>
                </c:manualLayout>
              </c:layout>
              <c:dLblPos val="r"/>
              <c:showVal val="1"/>
            </c:dLbl>
            <c:dLbl>
              <c:idx val="25"/>
              <c:showVal val="1"/>
            </c:dLbl>
            <c:dLbl>
              <c:idx val="27"/>
              <c:showVal val="1"/>
            </c:dLbl>
            <c:dLbl>
              <c:idx val="29"/>
              <c:showVal val="1"/>
            </c:dLbl>
            <c:dLbl>
              <c:idx val="31"/>
              <c:showVal val="1"/>
            </c:dLbl>
            <c:dLbl>
              <c:idx val="33"/>
              <c:showVal val="1"/>
            </c:dLbl>
            <c:dLbl>
              <c:idx val="34"/>
              <c:layout>
                <c:manualLayout>
                  <c:x val="-2.5347222222222292E-2"/>
                  <c:y val="1.1192764273600905E-2"/>
                </c:manualLayout>
              </c:layout>
              <c:dLblPos val="r"/>
              <c:showVal val="1"/>
            </c:dLbl>
            <c:dLbl>
              <c:idx val="35"/>
              <c:showVal val="1"/>
            </c:dLbl>
            <c:dLbl>
              <c:idx val="37"/>
              <c:showVal val="1"/>
            </c:dLbl>
            <c:dLbl>
              <c:idx val="39"/>
              <c:showVal val="1"/>
            </c:dLbl>
            <c:dLbl>
              <c:idx val="40"/>
              <c:showVal val="1"/>
            </c:dLbl>
            <c:dLbl>
              <c:idx val="42"/>
              <c:showVal val="1"/>
            </c:dLbl>
            <c:dLbl>
              <c:idx val="43"/>
              <c:showVal val="1"/>
            </c:dLbl>
            <c:dLbl>
              <c:idx val="44"/>
              <c:showVal val="1"/>
            </c:dLbl>
            <c:dLbl>
              <c:idx val="45"/>
              <c:layout>
                <c:manualLayout>
                  <c:x val="-5.3124999999999901E-2"/>
                  <c:y val="2.475975127190503E-2"/>
                </c:manualLayout>
              </c:layout>
              <c:dLblPos val="r"/>
              <c:showVal val="1"/>
            </c:dLbl>
            <c:dLbl>
              <c:idx val="46"/>
              <c:showVal val="1"/>
            </c:dLbl>
            <c:dLbl>
              <c:idx val="47"/>
              <c:layout>
                <c:manualLayout>
                  <c:x val="-2.5347222222222292E-2"/>
                  <c:y val="2.475975127190503E-2"/>
                </c:manualLayout>
              </c:layout>
              <c:dLblPos val="r"/>
              <c:showVal val="1"/>
            </c:dLbl>
            <c:dLbl>
              <c:idx val="49"/>
              <c:showVal val="1"/>
            </c:dLbl>
            <c:dLbl>
              <c:idx val="50"/>
              <c:showVal val="1"/>
            </c:dLbl>
            <c:dLbl>
              <c:idx val="52"/>
              <c:showVal val="1"/>
            </c:dLbl>
            <c:dLbl>
              <c:idx val="53"/>
              <c:showVal val="1"/>
            </c:dLbl>
            <c:dLbl>
              <c:idx val="54"/>
              <c:layout>
                <c:manualLayout>
                  <c:x val="-3.2986111111111112E-2"/>
                  <c:y val="-3.3496405913683198E-2"/>
                </c:manualLayout>
              </c:layout>
              <c:dLblPos val="r"/>
              <c:showVal val="1"/>
            </c:dLbl>
            <c:dLbl>
              <c:idx val="55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Лист1!$A$75:$A$109</c:f>
              <c:numCache>
                <c:formatCode>General</c:formatCode>
                <c:ptCount val="35"/>
                <c:pt idx="0" formatCode="dd/mm/yy;@">
                  <c:v>41275</c:v>
                </c:pt>
                <c:pt idx="3" formatCode="dd/mm/yy;@">
                  <c:v>41365</c:v>
                </c:pt>
                <c:pt idx="6" formatCode="dd/mm/yy;@">
                  <c:v>41456</c:v>
                </c:pt>
                <c:pt idx="9" formatCode="dd/mm/yy;@">
                  <c:v>41548</c:v>
                </c:pt>
                <c:pt idx="12" formatCode="dd/mm/yy;@">
                  <c:v>41640</c:v>
                </c:pt>
                <c:pt idx="15" formatCode="dd/mm/yy;@">
                  <c:v>41730</c:v>
                </c:pt>
                <c:pt idx="18" formatCode="dd/mm/yy;@">
                  <c:v>41821</c:v>
                </c:pt>
                <c:pt idx="21" formatCode="dd/mm/yy;@">
                  <c:v>41913</c:v>
                </c:pt>
                <c:pt idx="24" formatCode="dd/mm/yy;@">
                  <c:v>42005</c:v>
                </c:pt>
                <c:pt idx="27" formatCode="dd/mm/yy;@">
                  <c:v>42095</c:v>
                </c:pt>
                <c:pt idx="30" formatCode="dd/mm/yy;@">
                  <c:v>42186</c:v>
                </c:pt>
                <c:pt idx="33" formatCode="dd/mm/yy;@">
                  <c:v>42278</c:v>
                </c:pt>
                <c:pt idx="34" formatCode="dd/mm/yy;@">
                  <c:v>42370</c:v>
                </c:pt>
              </c:numCache>
            </c:numRef>
          </c:cat>
          <c:val>
            <c:numRef>
              <c:f>Лист1!$B$75:$B$109</c:f>
              <c:numCache>
                <c:formatCode>General</c:formatCode>
                <c:ptCount val="35"/>
                <c:pt idx="0" formatCode="0.0">
                  <c:v>1.4</c:v>
                </c:pt>
                <c:pt idx="3" formatCode="0.0">
                  <c:v>1.4</c:v>
                </c:pt>
                <c:pt idx="6" formatCode="0.0">
                  <c:v>1.3</c:v>
                </c:pt>
                <c:pt idx="9" formatCode="0.0">
                  <c:v>1.2</c:v>
                </c:pt>
                <c:pt idx="12" formatCode="0.0">
                  <c:v>1.2</c:v>
                </c:pt>
                <c:pt idx="15" formatCode="0.0">
                  <c:v>1.2</c:v>
                </c:pt>
                <c:pt idx="18" formatCode="0.0">
                  <c:v>1.2</c:v>
                </c:pt>
                <c:pt idx="21">
                  <c:v>1.1000000000000001</c:v>
                </c:pt>
                <c:pt idx="24">
                  <c:v>1.2</c:v>
                </c:pt>
                <c:pt idx="27">
                  <c:v>1.3</c:v>
                </c:pt>
                <c:pt idx="30">
                  <c:v>1.3</c:v>
                </c:pt>
                <c:pt idx="33">
                  <c:v>1.2</c:v>
                </c:pt>
                <c:pt idx="34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Карелия</c:v>
                </c:pt>
              </c:strCache>
            </c:strRef>
          </c:tx>
          <c:spPr>
            <a:ln w="38122"/>
          </c:spPr>
          <c:marker>
            <c:symbol val="square"/>
            <c:size val="2"/>
            <c:spPr>
              <a:solidFill>
                <a:schemeClr val="accent2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8.3333333333333367E-3"/>
                  <c:y val="2.713397399660825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7736503219415606E-2"/>
                  <c:y val="-4.0816326530612429E-2"/>
                </c:manualLayout>
              </c:layout>
              <c:showVal val="1"/>
            </c:dLbl>
            <c:dLbl>
              <c:idx val="2"/>
              <c:layout>
                <c:manualLayout>
                  <c:x val="-3.9623576027736605E-3"/>
                  <c:y val="-3.7414965986394703E-2"/>
                </c:manualLayout>
              </c:layout>
              <c:showVal val="1"/>
            </c:dLbl>
            <c:dLbl>
              <c:idx val="3"/>
              <c:layout>
                <c:manualLayout>
                  <c:x val="-2.5755324418028802E-2"/>
                  <c:y val="4.7619047619047623E-2"/>
                </c:manualLayout>
              </c:layout>
              <c:showVal val="1"/>
            </c:dLbl>
            <c:dLbl>
              <c:idx val="4"/>
              <c:layout>
                <c:manualLayout>
                  <c:x val="-3.4722222222222224E-2"/>
                  <c:y val="-3.617863199547766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0"/>
                  <c:y val="-2.713397399660825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3682613596034522E-3"/>
                  <c:y val="-3.169478815148106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3774145616641956E-2"/>
                  <c:y val="5.1020408163265286E-2"/>
                </c:manualLayout>
              </c:layout>
              <c:showVal val="1"/>
            </c:dLbl>
            <c:dLbl>
              <c:idx val="9"/>
              <c:layout>
                <c:manualLayout>
                  <c:x val="-2.853303069657161E-2"/>
                  <c:y val="-4.984198403770958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8.7212426827033007E-3"/>
                  <c:y val="-4.313514382130803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5755324418028802E-2"/>
                  <c:y val="5.4421768707482956E-2"/>
                </c:manualLayout>
              </c:layout>
              <c:showVal val="1"/>
            </c:dLbl>
            <c:dLbl>
              <c:idx val="12"/>
              <c:layout>
                <c:manualLayout>
                  <c:x val="-2.3774145616641956E-2"/>
                  <c:y val="-5.3358776581498762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9.7222222222222224E-3"/>
                  <c:y val="-3.3917467495760314E-2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2.0833333333333412E-2"/>
                  <c:y val="-1.5828151498021501E-2"/>
                </c:manualLayout>
              </c:layout>
              <c:dLblPos val="r"/>
              <c:showVal val="1"/>
            </c:dLbl>
            <c:dLbl>
              <c:idx val="22"/>
              <c:layout>
                <c:manualLayout>
                  <c:x val="-2.6388888888888878E-2"/>
                  <c:y val="2.7133973996608256E-2"/>
                </c:manualLayout>
              </c:layout>
              <c:dLblPos val="r"/>
              <c:showVal val="1"/>
            </c:dLbl>
            <c:dLbl>
              <c:idx val="24"/>
              <c:layout>
                <c:manualLayout>
                  <c:x val="1.3888888888888951E-2"/>
                  <c:y val="2.2611644997173684E-2"/>
                </c:manualLayout>
              </c:layout>
              <c:dLblPos val="r"/>
              <c:showVal val="1"/>
            </c:dLbl>
            <c:dLbl>
              <c:idx val="26"/>
              <c:layout>
                <c:manualLayout>
                  <c:x val="-6.9444444444444623E-3"/>
                  <c:y val="-3.3917467495760314E-2"/>
                </c:manualLayout>
              </c:layout>
              <c:dLblPos val="r"/>
              <c:showVal val="1"/>
            </c:dLbl>
            <c:dLbl>
              <c:idx val="31"/>
              <c:layout>
                <c:manualLayout>
                  <c:x val="-3.7500000000000006E-2"/>
                  <c:y val="1.8089315997738841E-2"/>
                </c:manualLayout>
              </c:layout>
              <c:dLblPos val="r"/>
              <c:showVal val="1"/>
            </c:dLbl>
            <c:dLbl>
              <c:idx val="33"/>
              <c:layout>
                <c:manualLayout>
                  <c:x val="-1.2500000000000001E-2"/>
                  <c:y val="2.4872809496890899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2.9166666666666667E-2"/>
                  <c:y val="-2.2611644997173646E-2"/>
                </c:manualLayout>
              </c:layout>
              <c:dLblPos val="r"/>
              <c:showVal val="1"/>
            </c:dLbl>
            <c:dLbl>
              <c:idx val="38"/>
              <c:layout>
                <c:manualLayout>
                  <c:x val="-1.1111111111111125E-2"/>
                  <c:y val="-3.3917467495760314E-2"/>
                </c:manualLayout>
              </c:layout>
              <c:dLblPos val="r"/>
              <c:showVal val="1"/>
            </c:dLbl>
            <c:dLbl>
              <c:idx val="50"/>
              <c:layout>
                <c:manualLayout>
                  <c:x val="0"/>
                  <c:y val="-4.7484454494064444E-2"/>
                </c:manualLayout>
              </c:layout>
              <c:dLblPos val="r"/>
              <c:showVal val="1"/>
            </c:dLbl>
            <c:dLbl>
              <c:idx val="53"/>
              <c:layout>
                <c:manualLayout>
                  <c:x val="5.5555555555555558E-3"/>
                  <c:y val="-2.5897651472058192E-2"/>
                </c:manualLayout>
              </c:layout>
              <c:dLblPos val="r"/>
              <c:showVal val="1"/>
            </c:dLbl>
            <c:dLbl>
              <c:idx val="56"/>
              <c:layout>
                <c:manualLayout>
                  <c:x val="-1.8055555555555561E-2"/>
                  <c:y val="3.453237723060123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Лист1!$A$75:$A$109</c:f>
              <c:numCache>
                <c:formatCode>General</c:formatCode>
                <c:ptCount val="35"/>
                <c:pt idx="0" formatCode="dd/mm/yy;@">
                  <c:v>41275</c:v>
                </c:pt>
                <c:pt idx="3" formatCode="dd/mm/yy;@">
                  <c:v>41365</c:v>
                </c:pt>
                <c:pt idx="6" formatCode="dd/mm/yy;@">
                  <c:v>41456</c:v>
                </c:pt>
                <c:pt idx="9" formatCode="dd/mm/yy;@">
                  <c:v>41548</c:v>
                </c:pt>
                <c:pt idx="12" formatCode="dd/mm/yy;@">
                  <c:v>41640</c:v>
                </c:pt>
                <c:pt idx="15" formatCode="dd/mm/yy;@">
                  <c:v>41730</c:v>
                </c:pt>
                <c:pt idx="18" formatCode="dd/mm/yy;@">
                  <c:v>41821</c:v>
                </c:pt>
                <c:pt idx="21" formatCode="dd/mm/yy;@">
                  <c:v>41913</c:v>
                </c:pt>
                <c:pt idx="24" formatCode="dd/mm/yy;@">
                  <c:v>42005</c:v>
                </c:pt>
                <c:pt idx="27" formatCode="dd/mm/yy;@">
                  <c:v>42095</c:v>
                </c:pt>
                <c:pt idx="30" formatCode="dd/mm/yy;@">
                  <c:v>42186</c:v>
                </c:pt>
                <c:pt idx="33" formatCode="dd/mm/yy;@">
                  <c:v>42278</c:v>
                </c:pt>
                <c:pt idx="34" formatCode="dd/mm/yy;@">
                  <c:v>42370</c:v>
                </c:pt>
              </c:numCache>
            </c:numRef>
          </c:cat>
          <c:val>
            <c:numRef>
              <c:f>Лист1!$C$75:$C$109</c:f>
              <c:numCache>
                <c:formatCode>General</c:formatCode>
                <c:ptCount val="35"/>
                <c:pt idx="0" formatCode="0.0">
                  <c:v>2</c:v>
                </c:pt>
                <c:pt idx="3" formatCode="0.0">
                  <c:v>2.2000000000000002</c:v>
                </c:pt>
                <c:pt idx="6" formatCode="0.0">
                  <c:v>1.9000000000000001</c:v>
                </c:pt>
                <c:pt idx="9" formatCode="0.0">
                  <c:v>1.6</c:v>
                </c:pt>
                <c:pt idx="12" formatCode="0.0">
                  <c:v>2.1</c:v>
                </c:pt>
                <c:pt idx="15" formatCode="0.0">
                  <c:v>2.2000000000000002</c:v>
                </c:pt>
                <c:pt idx="18" formatCode="0.0">
                  <c:v>1.9000000000000001</c:v>
                </c:pt>
                <c:pt idx="21" formatCode="0.0">
                  <c:v>1.5</c:v>
                </c:pt>
                <c:pt idx="24" formatCode="0.0">
                  <c:v>2</c:v>
                </c:pt>
                <c:pt idx="27" formatCode="0.0">
                  <c:v>2.4</c:v>
                </c:pt>
                <c:pt idx="30" formatCode="0.0">
                  <c:v>2.2999999999999998</c:v>
                </c:pt>
                <c:pt idx="33" formatCode="0.0">
                  <c:v>1.9000000000000001</c:v>
                </c:pt>
                <c:pt idx="34" formatCode="0.0">
                  <c:v>2.4</c:v>
                </c:pt>
              </c:numCache>
            </c:numRef>
          </c:val>
        </c:ser>
        <c:marker val="1"/>
        <c:axId val="47667072"/>
        <c:axId val="47668608"/>
      </c:lineChart>
      <c:dateAx>
        <c:axId val="47667072"/>
        <c:scaling>
          <c:orientation val="minMax"/>
        </c:scaling>
        <c:axPos val="b"/>
        <c:numFmt formatCode="dd/mm/yy;@" sourceLinked="0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668608"/>
        <c:crosses val="autoZero"/>
        <c:auto val="1"/>
        <c:lblOffset val="100"/>
        <c:baseTimeUnit val="months"/>
        <c:majorUnit val="3"/>
        <c:majorTimeUnit val="months"/>
        <c:minorUnit val="2"/>
        <c:minorTimeUnit val="days"/>
      </c:dateAx>
      <c:valAx>
        <c:axId val="47668608"/>
        <c:scaling>
          <c:orientation val="minMax"/>
          <c:min val="1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6670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solidFill>
                  <a:schemeClr val="accent2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8541666666666826"/>
          <c:y val="0.91724137931034477"/>
          <c:w val="0.36145833333333338"/>
          <c:h val="6.3793103448275892E-2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2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01.01.14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Беломорск</c:v>
                </c:pt>
                <c:pt idx="1">
                  <c:v>Калевала</c:v>
                </c:pt>
                <c:pt idx="2">
                  <c:v>Кондопога</c:v>
                </c:pt>
                <c:pt idx="3">
                  <c:v>Лоухи</c:v>
                </c:pt>
                <c:pt idx="4">
                  <c:v>Кемь</c:v>
                </c:pt>
                <c:pt idx="5">
                  <c:v>Олонец</c:v>
                </c:pt>
                <c:pt idx="6">
                  <c:v>Сегежа</c:v>
                </c:pt>
                <c:pt idx="7">
                  <c:v>Пудож</c:v>
                </c:pt>
                <c:pt idx="8">
                  <c:v>Суоярви</c:v>
                </c:pt>
                <c:pt idx="9">
                  <c:v>Пряжа</c:v>
                </c:pt>
                <c:pt idx="10">
                  <c:v>Медгора</c:v>
                </c:pt>
                <c:pt idx="11">
                  <c:v>Муезерка</c:v>
                </c:pt>
                <c:pt idx="12">
                  <c:v>Питкяранта</c:v>
                </c:pt>
                <c:pt idx="13">
                  <c:v>Сортавала</c:v>
                </c:pt>
                <c:pt idx="14">
                  <c:v>Лахденпохья</c:v>
                </c:pt>
                <c:pt idx="15">
                  <c:v>Костомукша</c:v>
                </c:pt>
                <c:pt idx="16">
                  <c:v>Прионежье</c:v>
                </c:pt>
                <c:pt idx="17">
                  <c:v>Петрозаводск</c:v>
                </c:pt>
                <c:pt idx="18">
                  <c:v>Республика Карелия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6</c:v>
                </c:pt>
                <c:pt idx="1">
                  <c:v>5.2</c:v>
                </c:pt>
                <c:pt idx="2">
                  <c:v>4.5999999999999996</c:v>
                </c:pt>
                <c:pt idx="3">
                  <c:v>4.4000000000000004</c:v>
                </c:pt>
                <c:pt idx="4">
                  <c:v>3.5</c:v>
                </c:pt>
                <c:pt idx="5">
                  <c:v>3.4</c:v>
                </c:pt>
                <c:pt idx="6">
                  <c:v>3.3</c:v>
                </c:pt>
                <c:pt idx="7">
                  <c:v>3.2</c:v>
                </c:pt>
                <c:pt idx="8">
                  <c:v>3.1</c:v>
                </c:pt>
                <c:pt idx="9">
                  <c:v>2.2999999999999998</c:v>
                </c:pt>
                <c:pt idx="10">
                  <c:v>2</c:v>
                </c:pt>
                <c:pt idx="11">
                  <c:v>2</c:v>
                </c:pt>
                <c:pt idx="12">
                  <c:v>1.8</c:v>
                </c:pt>
                <c:pt idx="13">
                  <c:v>1.7</c:v>
                </c:pt>
                <c:pt idx="14">
                  <c:v>1.5</c:v>
                </c:pt>
                <c:pt idx="15">
                  <c:v>1.4</c:v>
                </c:pt>
                <c:pt idx="16">
                  <c:v>1.3</c:v>
                </c:pt>
                <c:pt idx="17">
                  <c:v>1.1000000000000001</c:v>
                </c:pt>
                <c:pt idx="18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01.01.15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Беломорск</c:v>
                </c:pt>
                <c:pt idx="1">
                  <c:v>Калевала</c:v>
                </c:pt>
                <c:pt idx="2">
                  <c:v>Кондопога</c:v>
                </c:pt>
                <c:pt idx="3">
                  <c:v>Лоухи</c:v>
                </c:pt>
                <c:pt idx="4">
                  <c:v>Кемь</c:v>
                </c:pt>
                <c:pt idx="5">
                  <c:v>Олонец</c:v>
                </c:pt>
                <c:pt idx="6">
                  <c:v>Сегежа</c:v>
                </c:pt>
                <c:pt idx="7">
                  <c:v>Пудож</c:v>
                </c:pt>
                <c:pt idx="8">
                  <c:v>Суоярви</c:v>
                </c:pt>
                <c:pt idx="9">
                  <c:v>Пряжа</c:v>
                </c:pt>
                <c:pt idx="10">
                  <c:v>Медгора</c:v>
                </c:pt>
                <c:pt idx="11">
                  <c:v>Муезерка</c:v>
                </c:pt>
                <c:pt idx="12">
                  <c:v>Питкяранта</c:v>
                </c:pt>
                <c:pt idx="13">
                  <c:v>Сортавала</c:v>
                </c:pt>
                <c:pt idx="14">
                  <c:v>Лахденпохья</c:v>
                </c:pt>
                <c:pt idx="15">
                  <c:v>Костомукша</c:v>
                </c:pt>
                <c:pt idx="16">
                  <c:v>Прионежье</c:v>
                </c:pt>
                <c:pt idx="17">
                  <c:v>Петрозаводск</c:v>
                </c:pt>
                <c:pt idx="18">
                  <c:v>Республика Карелия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5.0999999999999996</c:v>
                </c:pt>
                <c:pt idx="1">
                  <c:v>5.9</c:v>
                </c:pt>
                <c:pt idx="2">
                  <c:v>4.3</c:v>
                </c:pt>
                <c:pt idx="3">
                  <c:v>5</c:v>
                </c:pt>
                <c:pt idx="4">
                  <c:v>3.8</c:v>
                </c:pt>
                <c:pt idx="5">
                  <c:v>3.2</c:v>
                </c:pt>
                <c:pt idx="6">
                  <c:v>2.5</c:v>
                </c:pt>
                <c:pt idx="7">
                  <c:v>3.8</c:v>
                </c:pt>
                <c:pt idx="8">
                  <c:v>3.1</c:v>
                </c:pt>
                <c:pt idx="9">
                  <c:v>1.6</c:v>
                </c:pt>
                <c:pt idx="10">
                  <c:v>1.9000000000000001</c:v>
                </c:pt>
                <c:pt idx="11">
                  <c:v>1.7</c:v>
                </c:pt>
                <c:pt idx="12">
                  <c:v>1.5</c:v>
                </c:pt>
                <c:pt idx="13">
                  <c:v>1.7</c:v>
                </c:pt>
                <c:pt idx="14">
                  <c:v>1.3</c:v>
                </c:pt>
                <c:pt idx="15">
                  <c:v>1.4</c:v>
                </c:pt>
                <c:pt idx="16">
                  <c:v>1.2</c:v>
                </c:pt>
                <c:pt idx="17">
                  <c:v>1.1000000000000001</c:v>
                </c:pt>
                <c:pt idx="18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01.01.16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Беломорск</c:v>
                </c:pt>
                <c:pt idx="1">
                  <c:v>Калевала</c:v>
                </c:pt>
                <c:pt idx="2">
                  <c:v>Кондопога</c:v>
                </c:pt>
                <c:pt idx="3">
                  <c:v>Лоухи</c:v>
                </c:pt>
                <c:pt idx="4">
                  <c:v>Кемь</c:v>
                </c:pt>
                <c:pt idx="5">
                  <c:v>Олонец</c:v>
                </c:pt>
                <c:pt idx="6">
                  <c:v>Сегежа</c:v>
                </c:pt>
                <c:pt idx="7">
                  <c:v>Пудож</c:v>
                </c:pt>
                <c:pt idx="8">
                  <c:v>Суоярви</c:v>
                </c:pt>
                <c:pt idx="9">
                  <c:v>Пряжа</c:v>
                </c:pt>
                <c:pt idx="10">
                  <c:v>Медгора</c:v>
                </c:pt>
                <c:pt idx="11">
                  <c:v>Муезерка</c:v>
                </c:pt>
                <c:pt idx="12">
                  <c:v>Питкяранта</c:v>
                </c:pt>
                <c:pt idx="13">
                  <c:v>Сортавала</c:v>
                </c:pt>
                <c:pt idx="14">
                  <c:v>Лахденпохья</c:v>
                </c:pt>
                <c:pt idx="15">
                  <c:v>Костомукша</c:v>
                </c:pt>
                <c:pt idx="16">
                  <c:v>Прионежье</c:v>
                </c:pt>
                <c:pt idx="17">
                  <c:v>Петрозаводск</c:v>
                </c:pt>
                <c:pt idx="18">
                  <c:v>Республика Карелия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5.5</c:v>
                </c:pt>
                <c:pt idx="1">
                  <c:v>6.2</c:v>
                </c:pt>
                <c:pt idx="2">
                  <c:v>5</c:v>
                </c:pt>
                <c:pt idx="3">
                  <c:v>6.1</c:v>
                </c:pt>
                <c:pt idx="4">
                  <c:v>4.2</c:v>
                </c:pt>
                <c:pt idx="5">
                  <c:v>4</c:v>
                </c:pt>
                <c:pt idx="6">
                  <c:v>2.9</c:v>
                </c:pt>
                <c:pt idx="7">
                  <c:v>3.3</c:v>
                </c:pt>
                <c:pt idx="8">
                  <c:v>3.3</c:v>
                </c:pt>
                <c:pt idx="9">
                  <c:v>1.8</c:v>
                </c:pt>
                <c:pt idx="10">
                  <c:v>2.1</c:v>
                </c:pt>
                <c:pt idx="11">
                  <c:v>2.1</c:v>
                </c:pt>
                <c:pt idx="12">
                  <c:v>1.8</c:v>
                </c:pt>
                <c:pt idx="13">
                  <c:v>1.9000000000000001</c:v>
                </c:pt>
                <c:pt idx="14">
                  <c:v>1.5</c:v>
                </c:pt>
                <c:pt idx="15">
                  <c:v>1.5</c:v>
                </c:pt>
                <c:pt idx="16">
                  <c:v>1.6</c:v>
                </c:pt>
                <c:pt idx="17">
                  <c:v>1.6</c:v>
                </c:pt>
                <c:pt idx="18">
                  <c:v>2.4</c:v>
                </c:pt>
              </c:numCache>
            </c:numRef>
          </c:val>
        </c:ser>
        <c:shape val="box"/>
        <c:axId val="47764992"/>
        <c:axId val="47766528"/>
        <c:axId val="0"/>
      </c:bar3DChart>
      <c:catAx>
        <c:axId val="47764992"/>
        <c:scaling>
          <c:orientation val="minMax"/>
        </c:scaling>
        <c:axPos val="b"/>
        <c:tickLblPos val="nextTo"/>
        <c:txPr>
          <a:bodyPr rot="-2700000" vert="horz" anchor="ctr" anchorCtr="1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766528"/>
        <c:crosses val="autoZero"/>
        <c:auto val="1"/>
        <c:lblAlgn val="ctr"/>
        <c:lblOffset val="100"/>
      </c:catAx>
      <c:valAx>
        <c:axId val="47766528"/>
        <c:scaling>
          <c:orientation val="minMax"/>
        </c:scaling>
        <c:axPos val="l"/>
        <c:majorGridlines/>
        <c:numFmt formatCode="General" sourceLinked="1"/>
        <c:tickLblPos val="nextTo"/>
        <c:crossAx val="4776499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905826204775679E-2"/>
          <c:y val="4.1431578036637717E-2"/>
          <c:w val="0.90632274472300156"/>
          <c:h val="0.60899508104461664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средняя зарплата по Республике Карелия, руб.</c:v>
                </c:pt>
              </c:strCache>
            </c:strRef>
          </c:tx>
          <c:spPr>
            <a:ln w="38354"/>
          </c:spPr>
          <c:marker>
            <c:symbol val="diamond"/>
            <c:size val="11"/>
            <c:spPr>
              <a:solidFill>
                <a:schemeClr val="accent5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2.913546953642104E-2"/>
                  <c:y val="-7.4303972872956134E-2"/>
                </c:manualLayout>
              </c:layout>
              <c:showVal val="1"/>
            </c:dLbl>
            <c:dLbl>
              <c:idx val="1"/>
              <c:layout>
                <c:manualLayout>
                  <c:x val="-4.5901314032030432E-2"/>
                  <c:y val="-5.2802530118518036E-2"/>
                </c:manualLayout>
              </c:layout>
              <c:showVal val="1"/>
            </c:dLbl>
            <c:dLbl>
              <c:idx val="2"/>
              <c:layout>
                <c:manualLayout>
                  <c:x val="-4.7122994924503947E-2"/>
                  <c:y val="-4.5318465626579311E-2"/>
                </c:manualLayout>
              </c:layout>
              <c:showVal val="1"/>
            </c:dLbl>
            <c:dLbl>
              <c:idx val="3"/>
              <c:layout>
                <c:manualLayout>
                  <c:x val="-3.2977209372703958E-2"/>
                  <c:y val="-3.2098540770396214E-2"/>
                </c:manualLayout>
              </c:layout>
              <c:showVal val="1"/>
            </c:dLbl>
            <c:dLbl>
              <c:idx val="4"/>
              <c:layout>
                <c:manualLayout>
                  <c:x val="-4.3469957809472937E-2"/>
                  <c:y val="-4.197501485359488E-2"/>
                </c:manualLayout>
              </c:layout>
              <c:showVal val="1"/>
            </c:dLbl>
            <c:dLbl>
              <c:idx val="5"/>
              <c:layout>
                <c:manualLayout>
                  <c:x val="-3.1478245310308052E-2"/>
                  <c:y val="-2.7160303728796752E-2"/>
                </c:manualLayout>
              </c:layout>
              <c:showVal val="1"/>
            </c:dLbl>
            <c:dLbl>
              <c:idx val="6"/>
              <c:layout>
                <c:manualLayout>
                  <c:x val="-2.9979281247912375E-2"/>
                  <c:y val="-3.2098540770396096E-2"/>
                </c:manualLayout>
              </c:layout>
              <c:showVal val="1"/>
            </c:dLbl>
            <c:dLbl>
              <c:idx val="7"/>
              <c:layout>
                <c:manualLayout>
                  <c:x val="-3.1478245310308052E-2"/>
                  <c:y val="-3.7036777811995901E-2"/>
                </c:manualLayout>
              </c:layout>
              <c:showVal val="1"/>
            </c:dLbl>
            <c:dLbl>
              <c:idx val="8"/>
              <c:layout>
                <c:manualLayout>
                  <c:x val="-3.5975137497495223E-2"/>
                  <c:y val="-3.209854077039609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chemeClr val="tx2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27764</c:v>
                </c:pt>
                <c:pt idx="1">
                  <c:v>29250</c:v>
                </c:pt>
                <c:pt idx="2">
                  <c:v>30306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средняя зарплата по виду экономической деятельности "Образование", руб.</c:v>
                </c:pt>
              </c:strCache>
            </c:strRef>
          </c:tx>
          <c:spPr>
            <a:ln w="38354"/>
          </c:spPr>
          <c:marker>
            <c:symbol val="circle"/>
            <c:size val="10"/>
          </c:marker>
          <c:dLbls>
            <c:dLbl>
              <c:idx val="0"/>
              <c:layout>
                <c:manualLayout>
                  <c:x val="-4.1971175250912686E-2"/>
                  <c:y val="6.8491221206044922E-2"/>
                </c:manualLayout>
              </c:layout>
              <c:showVal val="1"/>
            </c:dLbl>
            <c:dLbl>
              <c:idx val="1"/>
              <c:layout>
                <c:manualLayout>
                  <c:x val="-3.5975137497495098E-2"/>
                  <c:y val="4.6913251895194234E-2"/>
                </c:manualLayout>
              </c:layout>
              <c:showVal val="1"/>
            </c:dLbl>
            <c:dLbl>
              <c:idx val="2"/>
              <c:layout>
                <c:manualLayout>
                  <c:x val="-4.8899291465788114E-2"/>
                  <c:y val="5.1928400254316123E-2"/>
                </c:manualLayout>
              </c:layout>
              <c:showVal val="1"/>
            </c:dLbl>
            <c:dLbl>
              <c:idx val="3"/>
              <c:layout>
                <c:manualLayout>
                  <c:x val="-4.3469957809472937E-2"/>
                  <c:y val="-2.7160303728796686E-2"/>
                </c:manualLayout>
              </c:layout>
              <c:showVal val="1"/>
            </c:dLbl>
            <c:dLbl>
              <c:idx val="4"/>
              <c:layout>
                <c:manualLayout>
                  <c:x val="-3.2977209372703938E-2"/>
                  <c:y val="3.9505701914014042E-2"/>
                </c:manualLayout>
              </c:layout>
              <c:showVal val="1"/>
            </c:dLbl>
            <c:dLbl>
              <c:idx val="5"/>
              <c:layout>
                <c:manualLayout>
                  <c:x val="-3.8973065622286092E-2"/>
                  <c:y val="3.7036777811995693E-2"/>
                </c:manualLayout>
              </c:layout>
              <c:showVal val="1"/>
            </c:dLbl>
            <c:dLbl>
              <c:idx val="6"/>
              <c:layout>
                <c:manualLayout>
                  <c:x val="-3.8973065622286251E-2"/>
                  <c:y val="3.2098346351615042E-2"/>
                </c:manualLayout>
              </c:layout>
              <c:showVal val="1"/>
            </c:dLbl>
            <c:dLbl>
              <c:idx val="7"/>
              <c:layout>
                <c:manualLayout>
                  <c:x val="-2.9979281247912375E-2"/>
                  <c:y val="3.9505896332795234E-2"/>
                </c:manualLayout>
              </c:layout>
              <c:showVal val="1"/>
            </c:dLbl>
            <c:dLbl>
              <c:idx val="8"/>
              <c:layout>
                <c:manualLayout>
                  <c:x val="-3.7474101559890692E-2"/>
                  <c:y val="4.197501485359488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20331</c:v>
                </c:pt>
                <c:pt idx="1">
                  <c:v>21502</c:v>
                </c:pt>
                <c:pt idx="2">
                  <c:v>22280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средняя зарплата по виду экономической деятельности "Здравоохранение", руб.</c:v>
                </c:pt>
              </c:strCache>
            </c:strRef>
          </c:tx>
          <c:spPr>
            <a:ln w="38735"/>
          </c:spPr>
          <c:marker>
            <c:symbol val="triangle"/>
            <c:size val="11"/>
          </c:marker>
          <c:dLbls>
            <c:dLbl>
              <c:idx val="0"/>
              <c:layout>
                <c:manualLayout>
                  <c:x val="-5.7792646678454393E-2"/>
                  <c:y val="-3.2098596371105785E-2"/>
                </c:manualLayout>
              </c:layout>
              <c:showVal val="1"/>
            </c:dLbl>
            <c:dLbl>
              <c:idx val="1"/>
              <c:layout>
                <c:manualLayout>
                  <c:x val="-3.2977209372703896E-2"/>
                  <c:y val="-2.7160303728796752E-2"/>
                </c:manualLayout>
              </c:layout>
              <c:showVal val="1"/>
            </c:dLbl>
            <c:dLbl>
              <c:idx val="2"/>
              <c:layout>
                <c:manualLayout>
                  <c:x val="-4.49689218718691E-2"/>
                  <c:y val="-2.9629422249596388E-2"/>
                </c:manualLayout>
              </c:layout>
              <c:showVal val="1"/>
            </c:dLbl>
            <c:dLbl>
              <c:idx val="3"/>
              <c:layout>
                <c:manualLayout>
                  <c:x val="-4.3469957809472937E-2"/>
                  <c:y val="4.197501485359488E-2"/>
                </c:manualLayout>
              </c:layout>
              <c:showVal val="1"/>
            </c:dLbl>
            <c:dLbl>
              <c:idx val="4"/>
              <c:layout>
                <c:manualLayout>
                  <c:x val="-3.1478245310308052E-2"/>
                  <c:y val="3.7036777811995873E-2"/>
                </c:manualLayout>
              </c:layout>
              <c:showVal val="1"/>
            </c:dLbl>
            <c:dLbl>
              <c:idx val="5"/>
              <c:layout>
                <c:manualLayout>
                  <c:x val="-4.0472029684681714E-2"/>
                  <c:y val="4.4444133374394575E-2"/>
                </c:manualLayout>
              </c:layout>
              <c:showVal val="1"/>
            </c:dLbl>
            <c:dLbl>
              <c:idx val="6"/>
              <c:layout>
                <c:manualLayout>
                  <c:x val="-2.9979281247912375E-2"/>
                  <c:y val="2.9629422249596388E-2"/>
                </c:manualLayout>
              </c:layout>
              <c:showVal val="1"/>
            </c:dLbl>
            <c:dLbl>
              <c:idx val="7"/>
              <c:layout>
                <c:manualLayout>
                  <c:x val="-2.9979281247912375E-2"/>
                  <c:y val="3.7036777811995873E-2"/>
                </c:manualLayout>
              </c:layout>
              <c:showVal val="1"/>
            </c:dLbl>
            <c:dLbl>
              <c:idx val="8"/>
              <c:layout>
                <c:manualLayout>
                  <c:x val="-3.7474101559890692E-2"/>
                  <c:y val="4.444413337439457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24921</c:v>
                </c:pt>
                <c:pt idx="1">
                  <c:v>27344</c:v>
                </c:pt>
                <c:pt idx="2">
                  <c:v>28337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средняя заработная плата по виду экономической деятельности "Предоставление социальных услуг", руб.</c:v>
                </c:pt>
              </c:strCache>
            </c:strRef>
          </c:tx>
          <c:spPr>
            <a:ln w="38354"/>
          </c:spPr>
          <c:marker>
            <c:symbol val="triangle"/>
            <c:size val="10"/>
          </c:marker>
          <c:dLbls>
            <c:dLbl>
              <c:idx val="0"/>
              <c:layout>
                <c:manualLayout>
                  <c:x val="-4.5901314032030432E-2"/>
                  <c:y val="7.0163186123473734E-2"/>
                </c:manualLayout>
              </c:layout>
              <c:showVal val="1"/>
            </c:dLbl>
            <c:dLbl>
              <c:idx val="1"/>
              <c:layout>
                <c:manualLayout>
                  <c:x val="-3.8973065622286092E-2"/>
                  <c:y val="5.9258844499192775E-2"/>
                </c:manualLayout>
              </c:layout>
              <c:showVal val="1"/>
            </c:dLbl>
            <c:dLbl>
              <c:idx val="2"/>
              <c:layout>
                <c:manualLayout>
                  <c:x val="-5.339608800919287E-2"/>
                  <c:y val="6.1881612624508892E-2"/>
                </c:manualLayout>
              </c:layout>
              <c:showVal val="1"/>
            </c:dLbl>
            <c:dLbl>
              <c:idx val="3"/>
              <c:layout>
                <c:manualLayout>
                  <c:x val="-3.1478245310308052E-2"/>
                  <c:y val="4.1975014853594887E-2"/>
                </c:manualLayout>
              </c:layout>
              <c:showVal val="1"/>
            </c:dLbl>
            <c:dLbl>
              <c:idx val="4"/>
              <c:layout>
                <c:manualLayout>
                  <c:x val="-3.1478245310308052E-2"/>
                  <c:y val="4.4444133374394575E-2"/>
                </c:manualLayout>
              </c:layout>
              <c:showVal val="1"/>
            </c:dLbl>
            <c:dLbl>
              <c:idx val="5"/>
              <c:layout>
                <c:manualLayout>
                  <c:x val="-3.8973065622286092E-2"/>
                  <c:y val="5.4320607457593803E-2"/>
                </c:manualLayout>
              </c:layout>
              <c:showVal val="1"/>
            </c:dLbl>
            <c:dLbl>
              <c:idx val="6"/>
              <c:layout>
                <c:manualLayout>
                  <c:x val="-2.9979281247912375E-2"/>
                  <c:y val="4.1975014853594887E-2"/>
                </c:manualLayout>
              </c:layout>
              <c:showVal val="1"/>
            </c:dLbl>
            <c:dLbl>
              <c:idx val="7"/>
              <c:layout>
                <c:manualLayout>
                  <c:x val="-2.9979281247912375E-2"/>
                  <c:y val="4.9382370415994123E-2"/>
                </c:manualLayout>
              </c:layout>
              <c:showVal val="1"/>
            </c:dLbl>
            <c:dLbl>
              <c:idx val="8"/>
              <c:layout>
                <c:manualLayout>
                  <c:x val="-3.7474101559890692E-2"/>
                  <c:y val="4.197501485359488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chemeClr val="accent4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15912</c:v>
                </c:pt>
                <c:pt idx="1">
                  <c:v>18237</c:v>
                </c:pt>
                <c:pt idx="2">
                  <c:v>18510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средняя заработная плата по виду экономической деятельности "Деятельность в области культуры и искусства", руб.</c:v>
                </c:pt>
              </c:strCache>
            </c:strRef>
          </c:tx>
          <c:spPr>
            <a:ln w="38354"/>
          </c:spPr>
          <c:marker>
            <c:symbol val="square"/>
            <c:size val="9"/>
          </c:marker>
          <c:dLbls>
            <c:dLbl>
              <c:idx val="0"/>
              <c:layout>
                <c:manualLayout>
                  <c:x val="-4.0472147713348033E-2"/>
                  <c:y val="-4.9382370415994033E-2"/>
                </c:manualLayout>
              </c:layout>
              <c:showVal val="1"/>
            </c:dLbl>
            <c:dLbl>
              <c:idx val="1"/>
              <c:layout>
                <c:manualLayout>
                  <c:x val="-3.5975137497495098E-2"/>
                  <c:y val="-4.197501485359488E-2"/>
                </c:manualLayout>
              </c:layout>
              <c:showVal val="1"/>
            </c:dLbl>
            <c:dLbl>
              <c:idx val="2"/>
              <c:layout>
                <c:manualLayout>
                  <c:x val="-3.7474101559890553E-2"/>
                  <c:y val="-4.9382370415994033E-2"/>
                </c:manualLayout>
              </c:layout>
              <c:showVal val="1"/>
            </c:dLbl>
            <c:dLbl>
              <c:idx val="3"/>
              <c:layout>
                <c:manualLayout>
                  <c:x val="-4.1970993747077315E-2"/>
                  <c:y val="5.1851488936793734E-2"/>
                </c:manualLayout>
              </c:layout>
              <c:showVal val="1"/>
            </c:dLbl>
            <c:dLbl>
              <c:idx val="4"/>
              <c:layout>
                <c:manualLayout>
                  <c:x val="-4.0472029684681721E-2"/>
                  <c:y val="-3.7036777811995873E-2"/>
                </c:manualLayout>
              </c:layout>
              <c:showVal val="1"/>
            </c:dLbl>
            <c:dLbl>
              <c:idx val="5"/>
              <c:layout>
                <c:manualLayout>
                  <c:x val="-3.8973065622286092E-2"/>
                  <c:y val="-3.7036777811995693E-2"/>
                </c:manualLayout>
              </c:layout>
              <c:showVal val="1"/>
            </c:dLbl>
            <c:dLbl>
              <c:idx val="6"/>
              <c:layout>
                <c:manualLayout>
                  <c:x val="-2.9979281247912375E-2"/>
                  <c:y val="-3.4567659291195728E-2"/>
                </c:manualLayout>
              </c:layout>
              <c:showVal val="1"/>
            </c:dLbl>
            <c:dLbl>
              <c:idx val="7"/>
              <c:layout>
                <c:manualLayout>
                  <c:x val="-2.2484460935934276E-2"/>
                  <c:y val="-2.4691185207996992E-2"/>
                </c:manualLayout>
              </c:layout>
              <c:showVal val="1"/>
            </c:dLbl>
            <c:dLbl>
              <c:idx val="8"/>
              <c:layout>
                <c:manualLayout>
                  <c:x val="-3.7474101559890692E-2"/>
                  <c:y val="-4.197501485359488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chemeClr val="accent5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21010</c:v>
                </c:pt>
                <c:pt idx="1">
                  <c:v>23521</c:v>
                </c:pt>
                <c:pt idx="2">
                  <c:v>23446</c:v>
                </c:pt>
              </c:numCache>
            </c:numRef>
          </c:val>
        </c:ser>
        <c:marker val="1"/>
        <c:axId val="47799680"/>
        <c:axId val="47821952"/>
      </c:lineChart>
      <c:catAx>
        <c:axId val="4779968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821952"/>
        <c:crosses val="autoZero"/>
        <c:auto val="1"/>
        <c:lblAlgn val="ctr"/>
        <c:lblOffset val="100"/>
      </c:catAx>
      <c:valAx>
        <c:axId val="47821952"/>
        <c:scaling>
          <c:orientation val="minMax"/>
          <c:max val="32000"/>
          <c:min val="12000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799680"/>
        <c:crosses val="autoZero"/>
        <c:crossBetween val="between"/>
        <c:majorUnit val="2000"/>
      </c:valAx>
    </c:plotArea>
    <c:legend>
      <c:legendPos val="b"/>
      <c:layout>
        <c:manualLayout>
          <c:xMode val="edge"/>
          <c:yMode val="edge"/>
          <c:x val="3.0466737904041346E-2"/>
          <c:y val="0.74498946021009338"/>
          <c:w val="0.93752333041703118"/>
          <c:h val="0.22726822190704424"/>
        </c:manualLayout>
      </c:layout>
      <c:txPr>
        <a:bodyPr/>
        <a:lstStyle/>
        <a:p>
          <a:pPr>
            <a:defRPr sz="1000" spc="-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Всего, чел.</c:v>
                </c:pt>
              </c:strCache>
            </c:strRef>
          </c:tx>
          <c:dLbls>
            <c:dLbl>
              <c:idx val="0"/>
              <c:layout>
                <c:manualLayout>
                  <c:x val="6.9444444444444605E-3"/>
                  <c:y val="-4.4280442804428104E-2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-3.4440344403444158E-2"/>
                </c:manualLayout>
              </c:layout>
              <c:showVal val="1"/>
            </c:dLbl>
            <c:dLbl>
              <c:idx val="2"/>
              <c:layout>
                <c:manualLayout>
                  <c:x val="4.6296296296295504E-3"/>
                  <c:y val="-2.952029520295199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25230</c:v>
                </c:pt>
                <c:pt idx="1">
                  <c:v>25465</c:v>
                </c:pt>
                <c:pt idx="2">
                  <c:v>21113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пределами РК, чел.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4.4280442804428104E-2"/>
                </c:manualLayout>
              </c:layout>
              <c:showVal val="1"/>
            </c:dLbl>
            <c:dLbl>
              <c:idx val="1"/>
              <c:layout>
                <c:manualLayout>
                  <c:x val="1.3888888888888947E-2"/>
                  <c:y val="-2.9520295202952029E-2"/>
                </c:manualLayout>
              </c:layout>
              <c:showVal val="1"/>
            </c:dLbl>
            <c:dLbl>
              <c:idx val="2"/>
              <c:layout>
                <c:manualLayout>
                  <c:x val="9.259259259259401E-3"/>
                  <c:y val="-2.460024600246005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5646</c:v>
                </c:pt>
                <c:pt idx="1">
                  <c:v>5342</c:v>
                </c:pt>
                <c:pt idx="2">
                  <c:v>3870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территории РК, чел.</c:v>
                </c:pt>
              </c:strCache>
            </c:strRef>
          </c:tx>
          <c:dLbls>
            <c:dLbl>
              <c:idx val="0"/>
              <c:layout>
                <c:manualLayout>
                  <c:x val="1.3888888888888947E-2"/>
                  <c:y val="-3.4440344403444158E-2"/>
                </c:manualLayout>
              </c:layout>
              <c:showVal val="1"/>
            </c:dLbl>
            <c:dLbl>
              <c:idx val="1"/>
              <c:layout>
                <c:manualLayout>
                  <c:x val="9.2592592592593177E-3"/>
                  <c:y val="-3.4440344403444158E-2"/>
                </c:manualLayout>
              </c:layout>
              <c:showVal val="1"/>
            </c:dLbl>
            <c:dLbl>
              <c:idx val="2"/>
              <c:layout>
                <c:manualLayout>
                  <c:x val="6.9444444444444605E-3"/>
                  <c:y val="-4.4280442804428104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19584</c:v>
                </c:pt>
                <c:pt idx="1">
                  <c:v>20123</c:v>
                </c:pt>
                <c:pt idx="2">
                  <c:v>17243</c:v>
                </c:pt>
              </c:numCache>
            </c:numRef>
          </c:val>
        </c:ser>
        <c:shape val="cylinder"/>
        <c:axId val="47480192"/>
        <c:axId val="47658112"/>
        <c:axId val="0"/>
      </c:bar3DChart>
      <c:catAx>
        <c:axId val="474801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658112"/>
        <c:crosses val="autoZero"/>
        <c:auto val="1"/>
        <c:lblAlgn val="ctr"/>
        <c:lblOffset val="100"/>
      </c:catAx>
      <c:valAx>
        <c:axId val="47658112"/>
        <c:scaling>
          <c:orientation val="minMax"/>
        </c:scaling>
        <c:axPos val="l"/>
        <c:numFmt formatCode="General" sourceLinked="1"/>
        <c:tickLblPos val="nextTo"/>
        <c:crossAx val="4748019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Несчастные случаи с тяжелыми последствиями, в т.ч.</c:v>
                </c:pt>
              </c:strCache>
            </c:strRef>
          </c:tx>
          <c:dLbls>
            <c:dLbl>
              <c:idx val="0"/>
              <c:layout>
                <c:manualLayout>
                  <c:x val="6.9444444444444605E-3"/>
                  <c:y val="-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6.9444444444444605E-3"/>
                  <c:y val="-2.777777777777795E-2"/>
                </c:manualLayout>
              </c:layout>
              <c:showVal val="1"/>
            </c:dLbl>
            <c:dLbl>
              <c:idx val="2"/>
              <c:layout>
                <c:manualLayout>
                  <c:x val="1.157407407407416E-2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38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Тяжелые несчастные случаи (и/или групповые, в т.ч. тяжелые)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1574074074074073E-2"/>
                  <c:y val="-3.174603174603173E-2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1.3888888888888947E-2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29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Несчастные случаи со смертельным исходом (и/или групповые, в т.ч. со смертельным исходом)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6.9444444444444605E-3"/>
                  <c:y val="-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1.3888888888888947E-2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1.851851851851857E-2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</c:ser>
        <c:shape val="cylinder"/>
        <c:axId val="47975808"/>
        <c:axId val="47993984"/>
        <c:axId val="0"/>
      </c:bar3DChart>
      <c:catAx>
        <c:axId val="47975808"/>
        <c:scaling>
          <c:orientation val="minMax"/>
        </c:scaling>
        <c:axPos val="b"/>
        <c:tickLblPos val="nextTo"/>
        <c:crossAx val="47993984"/>
        <c:crosses val="autoZero"/>
        <c:auto val="1"/>
        <c:lblAlgn val="ctr"/>
        <c:lblOffset val="100"/>
      </c:catAx>
      <c:valAx>
        <c:axId val="47993984"/>
        <c:scaling>
          <c:orientation val="minMax"/>
        </c:scaling>
        <c:axPos val="l"/>
        <c:numFmt formatCode="General" sourceLinked="1"/>
        <c:tickLblPos val="nextTo"/>
        <c:crossAx val="47975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642862350539515E-2"/>
          <c:y val="0.61130243965405962"/>
          <c:w val="0.87945483377077871"/>
          <c:h val="0.33623854395249786"/>
        </c:manualLayout>
      </c:layout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dLbls>
            <c:dLbl>
              <c:idx val="1"/>
              <c:layout>
                <c:manualLayout>
                  <c:x val="1.1574074074074073E-2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17275</c:v>
                </c:pt>
                <c:pt idx="1">
                  <c:v>8611</c:v>
                </c:pt>
                <c:pt idx="2">
                  <c:v>16138</c:v>
                </c:pt>
              </c:numCache>
            </c:numRef>
          </c:val>
        </c:ser>
        <c:shape val="cone"/>
        <c:axId val="48039040"/>
        <c:axId val="48040576"/>
        <c:axId val="0"/>
      </c:bar3DChart>
      <c:catAx>
        <c:axId val="48039040"/>
        <c:scaling>
          <c:orientation val="minMax"/>
        </c:scaling>
        <c:axPos val="b"/>
        <c:numFmt formatCode="General" sourceLinked="1"/>
        <c:tickLblPos val="nextTo"/>
        <c:crossAx val="48040576"/>
        <c:crosses val="autoZero"/>
        <c:auto val="1"/>
        <c:lblAlgn val="ctr"/>
        <c:lblOffset val="100"/>
      </c:catAx>
      <c:valAx>
        <c:axId val="48040576"/>
        <c:scaling>
          <c:orientation val="minMax"/>
        </c:scaling>
        <c:axPos val="l"/>
        <c:numFmt formatCode="General" sourceLinked="1"/>
        <c:tickLblPos val="nextTo"/>
        <c:crossAx val="480390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8140201585180765E-2"/>
          <c:y val="2.6545296487620728E-2"/>
          <c:w val="0.951330485469145"/>
          <c:h val="0.8083722018824063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Культура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Соцсфера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ЖКХ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Трехсторонние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shape val="box"/>
        <c:axId val="50307456"/>
        <c:axId val="50308992"/>
        <c:axId val="0"/>
      </c:bar3DChart>
      <c:catAx>
        <c:axId val="50307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308992"/>
        <c:crosses val="autoZero"/>
        <c:auto val="1"/>
        <c:lblAlgn val="ctr"/>
        <c:lblOffset val="100"/>
      </c:catAx>
      <c:valAx>
        <c:axId val="50308992"/>
        <c:scaling>
          <c:orientation val="minMax"/>
        </c:scaling>
        <c:axPos val="l"/>
        <c:numFmt formatCode="General" sourceLinked="1"/>
        <c:tickLblPos val="nextTo"/>
        <c:crossAx val="50307456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10789364673732121"/>
          <c:y val="0.94229873051583024"/>
          <c:w val="0.87861579905477272"/>
          <c:h val="5.7701433474661834E-2"/>
        </c:manualLayout>
      </c:layout>
      <c:txPr>
        <a:bodyPr/>
        <a:lstStyle/>
        <a:p>
          <a:pPr>
            <a:defRPr sz="1000" b="1" i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0.23004</cdr:x>
      <cdr:y>0</cdr:y>
    </cdr:from>
    <cdr:to>
      <cdr:x>0.30807</cdr:x>
      <cdr:y>0.06857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330019" y="-104775"/>
          <a:ext cx="451144" cy="2050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50</a:t>
          </a:r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0.49305</cdr:x>
      <cdr:y>0.04788</cdr:y>
    </cdr:from>
    <cdr:to>
      <cdr:x>0.56507</cdr:x>
      <cdr:y>0.10191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850656" y="143198"/>
          <a:ext cx="416396" cy="1615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45</a:t>
          </a:r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0.59921</cdr:x>
      <cdr:y>0.13927</cdr:y>
    </cdr:from>
    <cdr:to>
      <cdr:x>0.64272</cdr:x>
      <cdr:y>0.20548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772150" y="774700"/>
          <a:ext cx="419100" cy="3683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0.75151</cdr:x>
      <cdr:y>0.22712</cdr:y>
    </cdr:from>
    <cdr:to>
      <cdr:x>0.82867</cdr:x>
      <cdr:y>0.30887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344961" y="703071"/>
          <a:ext cx="446114" cy="2530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 b="1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32</a:t>
          </a:r>
        </a:p>
        <a:p xmlns:a="http://schemas.openxmlformats.org/drawingml/2006/main">
          <a:endParaRPr lang="ru-RU" sz="1200" b="1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0.61845</cdr:x>
      <cdr:y>0.68638</cdr:y>
    </cdr:from>
    <cdr:to>
      <cdr:x>0.97137</cdr:x>
      <cdr:y>0.86614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562351" y="2400301"/>
          <a:ext cx="2032824" cy="628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   На 01.01.2014 года - 1270 КД</a:t>
          </a:r>
        </a:p>
        <a:p xmlns:a="http://schemas.openxmlformats.org/drawingml/2006/main"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   На 01.01.2015 года - 1256 КД    </a:t>
          </a:r>
        </a:p>
        <a:p xmlns:a="http://schemas.openxmlformats.org/drawingml/2006/main"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   На 01.01.2016 года - 120</a:t>
          </a:r>
          <a:r>
            <a:rPr lang="en-US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</a:t>
          </a:r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КД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4935-1116-41BB-93C1-DC8CE980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593</cp:revision>
  <cp:lastPrinted>2016-03-18T06:58:00Z</cp:lastPrinted>
  <dcterms:created xsi:type="dcterms:W3CDTF">2016-03-17T13:23:00Z</dcterms:created>
  <dcterms:modified xsi:type="dcterms:W3CDTF">2016-03-21T07:39:00Z</dcterms:modified>
</cp:coreProperties>
</file>